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8C_239/2024 vom 23. Mai 2024</w:t>
      </w:r>
    </w:p>
    <w:p>
      <w:r>
        <w:t>Bundesgericht, 2024-05-23, DE</w:t>
      </w:r>
    </w:p>
    <w:p>
      <w:r>
        <w:rPr>
          <w:b/>
        </w:rPr>
        <w:t xml:space="preserve">Quelle: </w:t>
      </w:r>
      <w:r>
        <w:t>https://mcp.opencaselaw.ch/entscheid/bger_8C_239_2024</w:t>
      </w:r>
    </w:p>
    <w:p>
      <w:r>
        <w:t>FR: TF 8C_239/2024 du 23 mai 2024</w:t>
      </w:r>
    </w:p>
    <w:p>
      <w:r>
        <w:t>IT: TF 8C_239/2024 del 23 maggio 2024</w:t>
      </w:r>
    </w:p>
    <w:p>
      <w:pPr>
        <w:pStyle w:val="Heading2"/>
      </w:pPr>
      <w:r>
        <w:t>Erwägungen</w:t>
      </w:r>
    </w:p>
    <w:p>
      <w:r>
        <w:rPr>
          <w:b/>
        </w:rPr>
        <w:t>E. 1</w:t>
      </w:r>
    </w:p>
    <w:p>
      <w:r>
        <w:t>Nach Art. 95 lit. a BGG kann mit der Beschwerde insbesondere die Verletzung von Bundesrecht gerügt werden. Die Verletzung blossen kantonalen Rechts einschliesslich der demgemäss anwendbaren SKOS-Richtlinienbildet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Das kantonale Gericht legte im angefochten Urteil vom 11. März 2024 in Auseinandersetzung mit den Parteivorbringen dar, weshalb die Beschwerdeführerin gestützt auf Art. 29 SHG/FR die bis zum Lehrabschluss als Gipserin EFZ ausgerichteten Unterstützungsgelder in der Höhe von Fr. 24'212.05 in monatlichen Raten zu Fr. 200.- zurückzuerstatten hat. Dabei erwog es auch, Art. 29 SHG/FR regle die Rückerstattungspflicht für rechtmässig bezogene Sozialhilfegelder abschliessend. Daher bestehe (auch gestützt auf Art. 17 Sozialhilfebemessungsverordnung/FR) kein Raum, um auf die Richtlinien der Schweizerischen Konferenz der Sozialhilfe (SKOS) für die Ausgestaltung und Bemessung der Sozialhilfe zurückzugreifen, wonach ein Verzicht auf die Rückerstattung bei Personen vorgesehen sei, welche als junge Erwachsene während der Erstausbildung rechtmässig unterstützt würden. Auch legte es dar, weshalb bei der Berechnung der Rückerstattung aus Erwerbseinkommen kein Vermögensfreibetrag zu berücksichtigen ist.</w:t>
      </w:r>
    </w:p>
    <w:p>
      <w:r>
        <w:rPr>
          <w:b/>
        </w:rPr>
        <w:t>E. 3</w:t>
      </w:r>
    </w:p>
    <w:p>
      <w:r>
        <w:t>Die Beschwerdeführerin z 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8C_876/2018 vom 15. Januar 2019 und 8C_692/2017 vom 6. Oktober 2017; vgl. auch unlängst ergangenes Urteil 8C_333/2023 vom 1. Februar 2024 E. 2.2, zur Publikation vorgesehen). Die Verletzung blossen kantonalen Rechts oder von SKOS-Richtlinien bildet keinen selbständigen Beschwerdegrund (E. 1 hiervor). Soweit sodann die vorinstanzliche Überschussberechnung beanstandet wird, reicht es es nicht aus, diese als nicht nachvollziehbar zu rügen und dabei pauschal auf Belege zu verweisen. Genauso wenig genügt es, die Berücksichtigung eines Vermögensfreibetrags zu fordern, ohne auf die dazu ergangenen vorinstanzlichen Erwägungen näher einzugehen und dabei aufzuzeigen, inwiefern diese (oder der Entscheid selber im Ergebnis) willkürlich sein oder anderweitig gegen verfassungsmässige Rechte verstossen sollten. Soweit die Beschwerdeführerin in der ohnehin ausserhalb der gemäss Art. 44 - 48 BGG am 3. Mai 2024 abgelaufenen Rechtsmittelfrist (Datum der Urteilseröffnung: 19. März 2024) eingereichten Eingabe vom 8. Mai 2024 die aus ihrer Sicht fehlende finanzielle Unterstützung durch ihren Vater thematisieren will, so liegt dies ausserhalb dessen, was vorliegend zum Streitthema erhoben werden kann ( Art. 99 BGG ).</w:t>
      </w:r>
    </w:p>
    <w:p>
      <w:r>
        <w:rPr>
          <w:b/>
        </w:rPr>
        <w:t>E. 4</w:t>
      </w:r>
    </w:p>
    <w:p>
      <w:r>
        <w:t>Da der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