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239/2014 vom 14. Mai 2014</w:t>
      </w:r>
    </w:p>
    <w:p>
      <w:r>
        <w:t>Bundesgericht, 2014-05-14, FR</w:t>
      </w:r>
    </w:p>
    <w:p>
      <w:r>
        <w:rPr>
          <w:b/>
        </w:rPr>
        <w:t xml:space="preserve">Quelle: </w:t>
      </w:r>
      <w:r>
        <w:t>https://mcp.opencaselaw.ch/entscheid/bger_8C_239_2014</w:t>
      </w:r>
    </w:p>
    <w:p>
      <w:r>
        <w:t>FR: TF 8C 239/2014 du 14 mai 2014</w:t>
      </w:r>
    </w:p>
    <w:p>
      <w:r>
        <w:t>IT: TF 8C 239/2014 del 14 maggio 2014</w:t>
      </w:r>
    </w:p>
    <w:p>
      <w:pPr>
        <w:pStyle w:val="Heading2"/>
      </w:pPr>
      <w:r>
        <w:t>Regeste</w:t>
      </w:r>
    </w:p>
    <w:p>
      <w:r>
        <w:t>Aide sociale (procédure d'instonce précédente; effet suspensit) | Santé &amp; sécurité sociale</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La décision attaquée de refus de restitution de l'effet suspensif est une décision incidente au sens de l' art. 93 LTF , de sorte que le recours formé contre ce prononcé n'est admissible qu'aux conditions posées à l' art. 93 al. 1 let. a et b LTF .</w:t>
      </w:r>
    </w:p>
    <w:p>
      <w:r>
        <w:rPr>
          <w:b/>
        </w:rPr>
        <w:t>E. 1.2</w:t>
      </w:r>
    </w:p>
    <w:p>
      <w:r>
        <w:t>Un préjudice irréparable au sens de l' art. 93 al. 1 let. a LTF s'entend du dommage qui ne peut pas être réparé ultérieurement, notamment par la décision finale. 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8C_903/2013 du 24 janvier 2014; 8C_871/2013 du 20 décembre 2013 consid. 1.2; 8C_780/2011 du 4 décembre 2012 consid. 1.2.1). En l'occurrence, le recourant fait valoir que jusqu'au 31 juillet 2013, ses uniques ressources financières étaient fournies par l'Hospice général, de sorte que le retrait de l'effet suspensif l'expose à un préjudice irréparable comme la perte de son logement, de sa couverture de santé, ainsi que de ses besoins vitaux. Ce point de vue est bien fondé. Dès lors que le dommage résultant de la perte de tout moyen de subsistance ne pourrait pas être réparé ultérieurement, notamment par la décision finale, il y a lieu d'admettre l'existence d'un préjudice irréparable au sens de l' art. 93 al. 1 let. a LTF .</w:t>
      </w:r>
    </w:p>
    <w:p>
      <w:r>
        <w:rPr>
          <w:b/>
        </w:rPr>
        <w:t>E. 2.1</w:t>
      </w:r>
    </w:p>
    <w:p>
      <w:r>
        <w:t>En tant qu'il est formé contre le refus de la cour cantonale de restituer l'effet suspensif, le recours est dirigé contre une décision de mesures provisionnelles au sens de l' art. 98 LTF (cf. BERNARD CORBOZ, in: Commentaire de la LTF, 2 ème édition 2014, n° 8 ad art. 98 LTF ). Aussi, seule peut être invoquée la violation de droits constitutionnels ( ATF 133 III 393 consid. 5 p. 396 s.). Il appartient dès lors à la partie recourante non seulement d'indiquer avec précision les droits constitutionnels dont elle invoque la violation mais encore d'exposer de manière précise en quoi la décision attaquée viole les droits invoqués. Ce n'est qu'à ces conditions que le tribunal fédéral peut entrer en matière ( art. 106 al. 2 LTF ).</w:t>
      </w:r>
    </w:p>
    <w:p>
      <w:r>
        <w:rPr>
          <w:b/>
        </w:rPr>
        <w:t>E. 2.2</w:t>
      </w:r>
    </w:p>
    <w:p>
      <w:r>
        <w:t>En l'occurrence, le recourant fait valoir que la décision de la cour cantonale de refuser la restitution de l'effet suspensif à son recours lui fait subir un grave préjudice comme la perte de son logement, sa couverture de santé et de ses besoins vitaux. Aussi, cette décision constitue-t-elle une violation de l' art. 12 Cst. , selon lequel quiconque est dans une situation de détresse et n'est pas en mesure de subvenir à son entretien a le droit d'être aidé et assisté et de recevoir les moyens indispensables pour mener une existence conforme à la dignité humaine. Ce grief est recevable au regard des exigences posées à l' art. 106 al. 2 LTF .</w:t>
      </w:r>
    </w:p>
    <w:p>
      <w:r>
        <w:rPr>
          <w:b/>
        </w:rPr>
        <w:t>E. 3</w:t>
      </w:r>
    </w:p>
    <w:p>
      <w:r>
        <w:t>Par ailleurs, le recours en matière de droit public est dirigé contre un arrêt rendu en matière de droit public ( art. 82 ss LTF ) par une autorité cantonale de dernière instance ( art. 86 al. 1 let . d LTF) et il a été déposé dans le délai prévu par la loi ( art. 100 LTF ). Il est dès lors admissible. Partant, en raison de son caractère subsidiaire, le recours constitutionnel n'est pas recevable ( art. 113 LTF ).</w:t>
      </w:r>
    </w:p>
    <w:p>
      <w:r>
        <w:rPr>
          <w:b/>
        </w:rPr>
        <w:t>E. 4.1</w:t>
      </w:r>
    </w:p>
    <w:p>
      <w:r>
        <w:t>Aux termes de l'art. 66 de la loi cantonale genevoise sur la procédure administrative du 12 septembre 1985 (LPA; RSG E 5 10), sauf disposition légale contraire, le recours a effet suspensif à moins que l'autorité qui a pris la décision attaquée n'ait ordonné l'exécution nonobstant recours (al. 1); toutefois, lorsque aucun intérêt public ou privé prépondérant ne s'y oppose, la juridiction de recours peut, sur la demande de la partie dont les intérêts sont gravement menacés, retirer ou restituer l'effet suspensif (al. 2). La décision sur ce point implique une pesée des intérêts en cause, les chances de succès du recours pouvant également constituer un critère pertinent lorsque l'issue de la procédure est assez clairement prévisible (cf. ATF 129 II 286 consid. 3 p. 288; 124 V 82 consid. 6a p. 88; MEYER/DORMANN, in Basler Kommentar, Bundesgerichtsgesetz, 2 ème éd. 2011, n o 33 ss ad art. 103). Le cas échéant, la réglementation provisoire de la situation par l'instance précédente entre également en considération ( THOMAS MERKLI, Vorsorgliche Massnahmen und die aufschiebende Wirkung bei Beschwerden in öffentlich-rechtlichen Angelegenheiten und subsidiären Verfassungsbeschwerden, ZBl 2008 p. 423).</w:t>
      </w:r>
    </w:p>
    <w:p>
      <w:r>
        <w:rPr>
          <w:b/>
        </w:rPr>
        <w:t>E. 4.2</w:t>
      </w:r>
    </w:p>
    <w:p>
      <w:r>
        <w:t>A l'appui de son refus de restituer l'effet suspensif au recours, la cour cantonale a exposé que les chances de succès de celui-ci apparaissaient des plus ténues. Elle a considéré que A.________ contestait son obligation de collaborer imposée par la loi en invoquant une jurisprudence dépassée d'une autorité administrative et en faisant l'impasse sur les évolutions législatives et jurisprudentielles rappelées par l'Hospice général dans sa réponse au recours.</w:t>
      </w:r>
    </w:p>
    <w:p>
      <w:r>
        <w:rPr>
          <w:b/>
        </w:rPr>
        <w:t>E. 4.3</w:t>
      </w:r>
    </w:p>
    <w:p>
      <w:r>
        <w:t>La jurisprudence considère que la mise en oeuvre de l' art. 12 Cst. incombe aux cantons, lesquels sont libres de fixer la nature et les modalités des prestations à fournir au titre de l'aide d'urgence. Le droit fondamental à des conditions minimales d'existence selon l' art. 12 Cst. ne garantit pas un revenu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En effet, le droit constitutionnel d'obtenir de l'aide dans des situations de détresse est étroitement lié au respect de la dignité humaine garanti par l' art. 7 Cst. , lequel sous-tend l' art. 12 Cst. ( ATF 139 I 272 consid. 3.2 p. 276 et les références de jurisprudence et de doctrine). En l'occurrence, la cour cantonale a examiné le cas uniquement au regard des chances de succès du recours dont elle est saisie. Les chances de succès de la procédure sur le fond ne constituent toutefois pas un critère exclusif pour juger du bien-fondé d'une restitution de l'effet suspensif. Il importe également de prendre en considération et de pondérer les intérêts en présence, surtout lorsque la décision à rendre peut porter atteinte au droit du justiciable à des conditions minimales d'existence. Ainsi, même si le requérant s'oppose à la signature d'une procuration, cela ne dispense pas l'autorité d'examiner si le refus de toute prestation au titre de l'aide d'urgence viole l' art. 12 Cst. ( ATF 138 I 331 consid. 7.3 p. 343). Or, en l'espèce, rien ne permet d'admettre que le recourant serait à même, à brève échéance, de se procurer par lui-même les moyens nécessaires à la garantie de ses besoins élémentaires pour survivre d'une manière conforme aux exigences de la dignité humaine. En tout état de cause, l'intimé ne le prétend pas. Du reste, il a lui même accordé l'effet suspensif à l'opposition formée contre la décision du 13 août 2013 (courrier du 27 septembre 2013). Le droit fondamental à des conditions minimales d'existence au sens de l' art. 12 Cst. justifiait donc la restitution de l'effet suspensif au recours formé devant la cour cantonale, en ce sens que l'intimé doit en tout cas veiller à ce que l'intéressé continue de disposer d'un logement approprié et de moyens de subsistance suffisants, y compris les soins médicaux de base, jusqu'à droit connu sur ledit recours. Le recours se révèle ainsi bien fondé.</w:t>
      </w:r>
    </w:p>
    <w:p>
      <w:r>
        <w:rPr>
          <w:b/>
        </w:rPr>
        <w:t>E. 5</w:t>
      </w:r>
    </w:p>
    <w:p>
      <w:r>
        <w:t>L'intimé, qui succombe, supportera les frais judiciaires ( art. 66 al. 1 LTF ). Par ailleurs, le recourant qui n'est pas représenté par un avocat ne peut se voir allouer une indemnité de dépens ( art. 68 al. 3 LTF ). Etant donné l'issue de la cause,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