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238/2020 vom 7. Oktober 2020</w:t>
      </w:r>
    </w:p>
    <w:p>
      <w:r>
        <w:t>Bundesgericht, 2020-10-07, FR</w:t>
      </w:r>
    </w:p>
    <w:p>
      <w:r>
        <w:rPr>
          <w:b/>
        </w:rPr>
        <w:t xml:space="preserve">Quelle: </w:t>
      </w:r>
      <w:r>
        <w:t>https://mcp.opencaselaw.ch/entscheid/bger_8C_238_2020</w:t>
      </w:r>
    </w:p>
    <w:p>
      <w:r>
        <w:t>FR: TF 8C 238/2020 du 7 octobre 2020</w:t>
      </w:r>
    </w:p>
    <w:p>
      <w:r>
        <w:t>IT: TF 8C 238/2020 del 7 ottobre 2020</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son recours, le recourant s'en prend uniquement au taux de l'indemnité pour atteinte à l'intégrité. La procédure porte ainsi sur l'octroi de prestations en espèces de l'assurance-accidents, de sorte que le Tribunal fédéral n'est pas lié par les faits établis par l'autorité précédente ( art. 97 al. 2 et art. 105 al. 3 LTF ).</w:t>
      </w:r>
    </w:p>
    <w:p>
      <w:r>
        <w:rPr>
          <w:b/>
        </w:rPr>
        <w:t>E. 3</w:t>
      </w:r>
    </w:p>
    <w:p>
      <w:r>
        <w:t>Selon l' art. 24 al. 1 LAA , l'assuré qui souffre d'une atteinte importante et durable à son intégrité physique, mentale ou psychique par suite d'un accident a droit à une indemnité équitable pour atteinte à l'intégrité. Aux termes de l' art. 36 al. 1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 art. 36 al. 2 OLAA ). Cette annexe comporte un barème - reconnu conforme à la loi et non exhaustif ( ATF 124 V 29 consid. 1b p. 32, 209 consid. 4a/bb p. 210; arrêt 8C_451/2009 du 18 août 2010 consid. 3.2) - des lésions fréquentes et caractéristiques, évaluées en pour cent. Pour les atteintes à l'intégrité spéciales ou qui ne figurent pas dans la liste, le barème est appliqué par analogie, compte tenu de la gravité de l'atteinte (ch. 1 al. 2 annexe 3 OLAA). En cas de concours de plusieurs atteintes à l'intégrité, dues à un ou plusieurs accidents, l'indemnité est fixée d'après l'ensemble du dommage (art. 36 al. 3, première phrase, OLAA). Enfin, 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(arrêt du TFA U 173/00 du 22 septembre 2000 consid. 2 et la référence) - l'importance quantifiable (arrêt 8C_494/2014 du 11 décembre 2014 consid. 6.2, non publié in ATF 141 V 1 ). Le taux d'une atteinte à l'intégrité dont l'aggravation est prévisible au sens de l' art. 36 al. 4 OLAA doit être fixé sur la base de constatations médicales (arrêt 8C_459/2008 du 4 février 2009 consid. 2.3, in SVR 2009 UV n° 27 p. 97).</w:t>
      </w:r>
    </w:p>
    <w:p>
      <w:r>
        <w:rPr>
          <w:b/>
        </w:rPr>
        <w:t>E. 4.1</w:t>
      </w:r>
    </w:p>
    <w:p>
      <w:r>
        <w:t>En l'espèce, la juridiction précédente a confirmé le taux de 10 % retenu par l'intimée sur la base de l'appréciation de son médecin d'arrondissement, le docteur C.________, spécialiste en chirurgie. En ce qui concernait l'aggravation future de l'arthrose évoquée par le praticien susmentionné dans son rapport du 16 août 2018, les premiers juges ont jugé que son importance n'était pas quantifiable, de sorte qu'elle ne pouvait pas déjà être prise en compte dans l'évaluation de l'atteinte.</w:t>
      </w:r>
    </w:p>
    <w:p>
      <w:r>
        <w:rPr>
          <w:b/>
        </w:rPr>
        <w:t>E. 4.2</w:t>
      </w:r>
    </w:p>
    <w:p>
      <w:r>
        <w:t>De son côté, le recourant soutient que l'aggravation future de son atteinte serait prévisible et qu'il conviendrait d'en tenir compte dans la fixation actuelle du taux de l'indemnité. Il invoque à cet égard l'appréciation du docteur C.________ et l'arrêt 8C_459/2008 du 4 février 2009. Il critique en outre le taux de 10 % retenu en faisant valoir que ses douleurs sont quotidiennes.</w:t>
      </w:r>
    </w:p>
    <w:p>
      <w:r>
        <w:rPr>
          <w:b/>
        </w:rPr>
        <w:t>E. 4.3</w:t>
      </w:r>
    </w:p>
    <w:p>
      <w:r>
        <w:t>Dans l'arrêt cité par le recourant, le Tribunal fédéral n'a pas considéré de manière générale que l'évolution d'une arthrose serait toujours défavorable de sorte qu'en présence d'une telle atteinte, il conviendrait d'emblée d'admettre la condition du caractère prévisible d'une aggravation future; il s'est limité dans ce contexte à citer l'avis d'un expert s'étant prononcé dans le cas particulier. Or en l'espèce, même en admettant la vraisemblance d'une future aggravation de l'arthrose dont souffre le recourant, le docteur C.________ n'a pas été en mesure de se prononcer sur son importance, qui doit être fixée sur la base de constatations médicales (arrêt 8C_459/2008 précité consid. 2.3). En effet, interrogé à ce propos, il a répondu que l'évolution et la gravité de l'arthrose post-traumatique ne pouvaient pas être quantifiées (cf. réponse du 3 octobre 2018). Le recourant ne cite aucune pièce médicale susceptible de mettre en cause l'impossibilité, à ce stade, de quantifier l'importance d'une aggravation. On ajoutera au demeurant qu'à la lecture d'un compte-rendu de consultation orthopédique du 2 octobre 2017 à la Clinique romande de réadaptation à Sion, la prévisibilité d'une aggravation n'apparaît pas forcément vraisemblable. Quoi qu'il en soit, si l'arthrose dont souffre le recourant fait effectivement l'objet d'une aggravation future d'une certaine ampleur, il lui sera loisible de requérir exceptionnellement la révision du taux de l'indemnité pour atteinte à l'intégrité. Pour le reste, le recourant ne démontre pas en quoi les douleurs qu'il allègue mettraient en doute le taux de l'atteinte à l'intégrité de 10 % fixé par le docteur C.________, lequel a retenu le taux maximum prévu pour les cas d'arthrose fémoro-patellaire moyenne selon la table 5.2 "Taux d'atteinte à l'intégrité résultant d'arthroses" publiée par les médecins de la CNA. Dans ces conditions, les juges cantonaux n'avaient pas à instruire davantage la question en demandant une nouvelle évaluation à un médecin externe à la CNA.</w:t>
      </w:r>
    </w:p>
    <w:p>
      <w:r>
        <w:rPr>
          <w:b/>
        </w:rPr>
        <w:t>E. 5</w:t>
      </w:r>
    </w:p>
    <w:p>
      <w:r>
        <w:t>En définitive, le recours, mal fondé, doit être rejeté selon la procédure simplifiée prévue à l' art. 109 al. 2 LTF .</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cf. ATF 140 V 521 consid. 9.1 p. 537). Au regard des motifs avancés dans le mémoire de recours, celui-ci était d'emblée dénué de chances de succès. Le recourant doit par conséquent payer les frais judiciaires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