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8C_238/2016 vom 16. Juni 2016</w:t>
      </w:r>
    </w:p>
    <w:p>
      <w:r>
        <w:t>Bundesgericht, 2016-06-16, DE</w:t>
      </w:r>
    </w:p>
    <w:p>
      <w:r>
        <w:rPr>
          <w:b/>
        </w:rPr>
        <w:t xml:space="preserve">Quelle: </w:t>
      </w:r>
      <w:r>
        <w:t>https://mcp.opencaselaw.ch/entscheid/bger_8C_238_2016</w:t>
      </w:r>
    </w:p>
    <w:p>
      <w:r>
        <w:t>FR: TF 8C_238/2016 du 16 juin 2016</w:t>
      </w:r>
    </w:p>
    <w:p>
      <w:r>
        <w:t>IT: TF 8C_238/2016 del 16 giugno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die Neuanmeldung und den Rentenanspruch massgeblichen Bestimmungen und Grundsätze zutreffend dargelegt. Es wird darauf verwiesen.</w:t>
      </w:r>
    </w:p>
    <w:p>
      <w:r>
        <w:rPr>
          <w:b/>
        </w:rPr>
        <w:t>E. 3</w:t>
      </w:r>
    </w:p>
    <w:p>
      <w:r>
        <w:t>Nach den vorinstanzlichen Feststellungen haben sich anlässlich der MEDAS-Begutachtung keine neuen Befunde und Diagnosen ergeben, die auf eine Verschlechterung des Gesundheitszustandes der Beschwerdeführerin schliessen lassen.</w:t>
      </w:r>
    </w:p>
    <w:p>
      <w:r>
        <w:rPr>
          <w:b/>
        </w:rPr>
        <w:t>E. 3.1</w:t>
      </w:r>
    </w:p>
    <w:p>
      <w:r>
        <w:t>Hinsichtlich des somatischen Gesundheitszustandes bemängelt die Beschwerdeführerin, dass der MEDAS-Gutachter trotz etlicher Diagnosen eine 100-prozentige Arbeitsfähigkeit bescheinige. Es liegen jedoch keine Arztberichte vor, die auch nur geringe Zweifel an der Zuverlässigkeit des Gutachtens zu begründen vermöchten; das kantonale Gericht hat sich dazu zutreffend geäussert ( BGE 137 V 210 E. 1.3.4 S. 227; 135 V 465 E. 4.4 S. 470; 125 V 351 E. 3b/bb S. 353).</w:t>
      </w:r>
    </w:p>
    <w:p>
      <w:r>
        <w:rPr>
          <w:b/>
        </w:rPr>
        <w:t>E. 3.2</w:t>
      </w:r>
    </w:p>
    <w:p>
      <w:r>
        <w:t>Das kantonale Gericht hat erkannt, dass die Befunderhebung aus psychiatrischer Sicht und die Beurteilung des Psychostatus durch die MEDAS-Gutachterin wie auch durch den behandelnden Arzt nicht wesentlich abweichen vom Vorgutachter. Nach übereinstimmender Einschätzung leide die Beschwerdeführerin an einer Schmerzstörung. Die Vorinstanz hat insbesondere auch auf die Ausführungen der Gutachterin abgestellt; danach seien die Beschreibung der Fähigkeiten und des Aktivitätsniveaus damals wie heute vergleichbar, woran ihre diagnostische Einschätzung (chronische Schmerzstörung mit Angst im Vordergrund) nichts ändere. Nach den vorinstanzlichen Feststellungen ist eine Invalidisierung durch die Schmerzstörung auch weiterhin nicht ausgewiesen (vgl. auch Urteile 9C_13/2016 vom 14. April 2016 E. 4.2; 9C_539/2015 vom 21. März 2016 E. 4.1.3.1). Zur Beurteilung der geltend gemachten Arbeitsunfähigkeit zufolge dieser Störung ist nunmehr BGE 141 V 281 massgeblich. Dabei hat sich jedoch an der Rechtsprechung zu Art. 7 Abs. 2 ATSG nichts geändert. Nach wie vor sind ausschliesslich die Folgen der gesundheitlichen Beeinträchtigung zu berücksichtigen. Es ist zu prüfen, ob es der Versicherten objektiv zuzumuten ist, eine Arbeitsleistung zu erbringen, und die materielle Beweislast liegt bei der rentenansprechenden Person ( BGE 141 V 281 E. 3.7 S. 295 f., E. 6 S. 307 f.; vgl. auch E. 8 S. 309). Es wird beschwerdeweise nichts vorgebracht, was die vorinstanzliche Beurteilung der Arbeitsfähigkeit der Versicherten als offensichtlich unrichtig oder rechtsfehlerhaft erscheinen liesse.</w:t>
      </w:r>
    </w:p>
    <w:p>
      <w:r>
        <w:t>Mit dem kantonalen Gericht ist daher insbesondere auch in psychiatrischer Hinsicht auf das MEDAS-Gutachten abzustellen. Eine Invalidisierung durch die Schmerzstörung und eine Verschlechterung des Gesundheitszustandes seit der letzten Rentenablehnung vom 11. November 2011 kann nicht als ausgewiesen gelten.</w:t>
      </w:r>
    </w:p>
    <w:p>
      <w:r>
        <w:t>Schliesslich stellt die neue Rechtsprechung zu den somatoformen Schmerzstörungen für sich allein keinen Neuanmeldungsgrund dar ( BGE 141 V 585 ).</w:t>
      </w:r>
    </w:p>
    <w:p>
      <w:r>
        <w:rPr>
          <w:b/>
        </w:rPr>
        <w:t>E. 4</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5</w:t>
      </w:r>
    </w:p>
    <w:p>
      <w:r>
        <w:t>Das Verfahren ist kostenpflichtig ( Art. 65 BGG ). Die Gerichtskosten werden der unterliegenden Beschwerdeführerin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