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237/2011 vom 19. August 2011</w:t>
      </w:r>
    </w:p>
    <w:p>
      <w:r>
        <w:t>Bundesgericht, 2011-08-19, DE</w:t>
      </w:r>
    </w:p>
    <w:p>
      <w:r>
        <w:rPr>
          <w:b/>
        </w:rPr>
        <w:t xml:space="preserve">Quelle: </w:t>
      </w:r>
      <w:r>
        <w:t>https://mcp.opencaselaw.ch/entscheid/bger_8C_237_2011</w:t>
      </w:r>
    </w:p>
    <w:p>
      <w:r>
        <w:t>FR: TF 8C 237/2011 du 19 août 2011</w:t>
      </w:r>
    </w:p>
    <w:p>
      <w:r>
        <w:t>IT: TF 8C 237/2011 del 19 agosto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Versicherten neu eingereichten Unterlagen ausnahmsweise zulässig wären, sind vorliegend nicht erfüllt, so dass diese unbeachtet bleiben müssen.</w:t>
      </w:r>
    </w:p>
    <w:p>
      <w:r>
        <w:rPr>
          <w:b/>
        </w:rPr>
        <w:t>E. 2.1</w:t>
      </w:r>
    </w:p>
    <w:p>
      <w:r>
        <w:t>Es steht fest und ist unbestritten, dass der Beschwerdeführer ab 1. November 2009 Anspruch auf eine Invalidenrente der Unfallversicherung hat. Streitig und zu prüfen ist zunächst die Höhe des Invaliditätsgrades. Für die Bestimmung desselben wird in Anwendung von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Dabei ist unbestritten, dass der Beschwerdeführer aus gesundheitlichen Gründen seine derzeit ausgeübte Tätigkeit nur zu 50 % verrichten kann. Vorinstanz und Verwaltung gingen jedoch davon aus, dass der Versicherte eine seinem Leiden optimal angepasste Tätigkeit zu 100 % ausüben und so ein höheres Einkommen erzielen könnte. Demgemäss bemassen sie den Invaliditätsgrad des Beschwerdeführers ausgehend von statistischen Tabellenlöhnen auf 36 %.</w:t>
      </w:r>
    </w:p>
    <w:p>
      <w:r>
        <w:rPr>
          <w:b/>
        </w:rPr>
        <w:t>E. 2.2</w:t>
      </w:r>
    </w:p>
    <w:p>
      <w:r>
        <w:t>Der Versicherte bringt vor Bundesgericht erstmals vor, er könnte auch eine angepasste Tätigkeit nicht zu 100 %, sondern bloss zu 70 % ausüben. Aufgrund der Akten der Unfallversicherung und der rechtzeitig in das Verfahren eingebrachten Unterlagen des Versicherten bestehen nicht einmal geringe Zweifel (vgl. BGE 135 V 465 E. 4.6 S. 471) an der Schlüssigkeit der kreisärztlichen Feststellungen zum Profil der noch zumutbaren Tätigkeiten. Somit durften Vorinstanz und Verwaltung von einer 100 %igen Arbeitsfähigkeit in einer angepassten Tätigkeit ausgehen.</w:t>
      </w:r>
    </w:p>
    <w:p>
      <w:r>
        <w:rPr>
          <w:b/>
        </w:rPr>
        <w:t>E. 2.3</w:t>
      </w:r>
    </w:p>
    <w:p>
      <w:r>
        <w:t>Wie die Vorinstanz zutreffend erwogen hat, würde ein Abstellen bei der Ermittlung des Invalideneinkommens auf den tatsächlich erzielten Verdienst unter anderem voraussetzen, dass der Versicherte seine ihm verbliebene Arbeitsfähigkeit in zumutbarer Weise voll ausschöpft ( BGE 129 V 472 E. 4.2.1 S. 475). Dies ist dann nicht der Fall, wenn die versicherte Person auf dem hypothetischen ausgeglichenen Arbeitsmarkt einen höheren als den tatsächlich erzielten Lohn erzielen könnte. Auf diesem hypothetischen Arbeitsmarkt wäre dem Beschwerdeführer ein Stellenwechsel zumutbar. Daran vermag auch der Umstand nichts zu ändern, dass es für den Versicherten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w:t>
      </w:r>
    </w:p>
    <w:p>
      <w:r>
        <w:rPr>
          <w:b/>
        </w:rPr>
        <w:t>E. 2.4</w:t>
      </w:r>
    </w:p>
    <w:p>
      <w:r>
        <w:t>Könnte der Beschwerdeführer auf dem hypothetischen Arbeitsmarkt durch einen ihm zumutbaren Stellenwechsel in eine angepasste Tätigkeit und der damit verbundenen Aufnahme einer 100 %igen Erwerbstätigkeit ein höheres Einkommen erzielen als in der zuletzt ausgeübten 50 %igen Tätigkeit, so haben Vorinstanz und Verwaltung zu Recht dieses theoretisch erzielbare höhere Einkommen als Invalideneinkommen in die Vergleichsrechnung eingesetzt. Der so ermittelte Invaliditätsgrad von 36 % ist nicht zu beanstanden.</w:t>
      </w:r>
    </w:p>
    <w:p>
      <w:r>
        <w:rPr>
          <w:b/>
        </w:rPr>
        <w:t>E. 3</w:t>
      </w:r>
    </w:p>
    <w:p>
      <w:r>
        <w:t>Streitig und zu prüfen ist im Weiteren die Höhe des zur Bemessung der Invalidenrente massgeblichen versicherten Jahresverdienstes.</w:t>
      </w:r>
    </w:p>
    <w:p>
      <w:r>
        <w:rPr>
          <w:b/>
        </w:rPr>
        <w:t>E. 3.1</w:t>
      </w:r>
    </w:p>
    <w:p>
      <w:r>
        <w:t>Taggelder und Renten werden gemäss Art. 15 Abs. 1 UVG nach dem versicherten Verdienst bemessen. Als versicherter Verdienst gilt nach Art. 15 Abs. 2 UVG für die Bemessung der Taggelder der letzte vor dem Unfall bezogene Lohn, für die Bemessung der Renten der innerhalb eines Jahres vor dem Unfall bezogene Lohn.</w:t>
      </w:r>
    </w:p>
    <w:p>
      <w:r>
        <w:rPr>
          <w:b/>
        </w:rPr>
        <w:t>E. 3.1.1</w:t>
      </w:r>
    </w:p>
    <w:p>
      <w:r>
        <w:t>Als Grundlage für die Bemessung der Renten gilt gemäss Art. 22 Abs. 4 UVV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Gemäss Art. 22 Abs. 4 Satz 3 UVV in der bis 31. Dezember 1997 gültig gewesenen Fassung ist die Umrechnung bei einem Versicherten, der eine Saisonbeschäftigung ausübt, auf die normale Dauer dieser Beschäftigung beschränkt. In der seit 1. Januar 1998 geltenden Fassung dieses Satzes bleibt die Umrechnung bei einer zum voraus befristeten Beschäftigung auf die vorgesehene Dauer beschränkt.</w:t>
      </w:r>
    </w:p>
    <w:p>
      <w:r>
        <w:rPr>
          <w:b/>
        </w:rPr>
        <w:t>E. 3.1.2</w:t>
      </w:r>
    </w:p>
    <w:p>
      <w:r>
        <w:t>Beginnt die Rente mehr als fünf Jahre nach dem Unfall oder dem Ausbruch der Berufskrankheit, so ist in Anwendung von Art. 24 Abs. 2 UVV der Lohn massgebend, den der Versicherte ohne den Unfall oder die Berufskrankheit im Jahre vor dem Rentenbeginn bezogen hätte, sofern er höher ist als der letzte vor dem Unfall oder dem Ausbruch der Berufskrankheit erzielte Lohn. Diese Bestimmung ist nicht nur bei langdauernder Heilbehandlung anwendbar, sondern auch in jenen Fällen, in denen der Unfall zunächst ohne Rentenzusprache abgeschlossen werden konnte und die andauernde Erwerbseinbusse erst nach einem Rückfall oder infolge von Spätfolgen eintritt (vgl. Urteil U 286/01 vom 8. März 2002 E. 2b; RKUV 2002 Nr. U 451 S. 61, U 427/99 E. 3a).</w:t>
      </w:r>
    </w:p>
    <w:p>
      <w:r>
        <w:rPr>
          <w:b/>
        </w:rPr>
        <w:t>E. 3.2</w:t>
      </w:r>
    </w:p>
    <w:p>
      <w:r>
        <w:t>Vorinstanz und Verwaltung legten den für die Bemessung der Rente massgebenden versicherten Jahresverdienst auf Fr. 15'051.- fest. Sie passten dabei das Einkommen, welches der Versicherte im Jahre 1990 als Saisonnier verdiente, der Nominallohnentwicklung an. Der Beschwerdeführer macht geltend, er hätte auch ohne den Unfall längst eine Aufenthaltsbewilligung erhalten und würde nicht mehr bloss als Saisonnier in der Schweiz arbeiten. Gestützt auf Art. 24 Abs. 2 UVV sei daher der versicherte Verdienst auf Fr. 75'000.- festzulegen.</w:t>
      </w:r>
    </w:p>
    <w:p>
      <w:r>
        <w:rPr>
          <w:b/>
        </w:rPr>
        <w:t>E. 3.3</w:t>
      </w:r>
    </w:p>
    <w:p>
      <w:r>
        <w:t>Praxisgemäss erlaubt Art. 24 Abs. 2 UVV lediglich die Anpassung des Verdienstes an die normale Lohnentwicklung im angestammten Tätigkeitsfeld. Andere als teuerungsbedingte Änderungen der erwerblichen Verhältnissen können nicht unter Berufung auf diese Norm berücksichtigt werden (vgl. RKUV 2002 Nr. U 451 S 61, U 427/99 E. 3a mit weiteren Hinweisen). Dies gilt auch für Saisonniers, so dass nicht der Frage nachgegangen werden muss, ob die versicherte Person in späteren Jahren ohne Unfall eine Aufenthaltsbewilligung erhalten hätte (vgl. BGE 118 V 298 E. 3 S. 302 ff.). Der Versicherte bringt nichts vor, was zu einer Überprüfung dieser Praxis Anlass geben würde. Er macht zu Recht auch nicht geltend, er wäre im Zeitpunkt des Unfalles fremdenpolizeilich zur Eingehung eines unbefristeten Arbeitsverhältnisses berechtigt gewesen. Somit ist die vorinstanzliche Bemessung des versicherten Verdienstes nicht zu beanstanden.</w:t>
      </w:r>
    </w:p>
    <w:p>
      <w:r>
        <w:rPr>
          <w:b/>
        </w:rPr>
        <w:t>E. 4</w:t>
      </w:r>
    </w:p>
    <w:p>
      <w:r>
        <w:t>Mit unangefochten gebliebener Verfügung vom 15. April 1999 sprach die SUVA dem Versicherten eine Entschädigung aufgrund einer Integritätseinbusse von 20 % zu. Die nachträgliche Erhöhung einer Integritätsentschädigung ist gemäss Art. 36 Abs. 4 UVV nur im Ausnahmefall möglich, wenn die Verschlimmerung von grosser Tragweite ist und nicht voraussehbar war. Wie das kantonale Gericht zutreffend erwogen hat, wird eine entsprechende unvorhersehbare Verschlimmerung von keiner medizinischen Fachperson diagnostiziert; die Beschwerde ist somit auch bezüglich der Integritätsentschädigung abzuweisen.</w:t>
      </w:r>
    </w:p>
    <w:p>
      <w:r>
        <w:rPr>
          <w:b/>
        </w:rPr>
        <w:t>E. 5</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