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8C_235/2019 vom 20. Januar 2020</w:t>
      </w:r>
    </w:p>
    <w:p>
      <w:r>
        <w:t>Bundesgericht, 2020-01-20, DE</w:t>
      </w:r>
    </w:p>
    <w:p>
      <w:r>
        <w:rPr>
          <w:b/>
        </w:rPr>
        <w:t xml:space="preserve">Quelle: </w:t>
      </w:r>
      <w:r>
        <w:t>https://mcp.opencaselaw.ch/entscheid/bger_8C_235_2019</w:t>
      </w:r>
    </w:p>
    <w:p>
      <w:r>
        <w:t>FR: TF 8C_235/2019 du 20 janvier 2020</w:t>
      </w:r>
    </w:p>
    <w:p>
      <w:r>
        <w:t>IT: TF 8C_235/2019 del 20 gennaio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die rentenaufhebende Verfügung der IV-Stelle bestätigte.</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Gemäss Art. 53 Abs. 2 ATSG kann der Versicherungsträger auf formell rechtskräftige Verfügungen oder Einspracheentscheide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 BGE 140 V 77 E. 3.1 S. 79; 138 V 324 E. 3.3 S. 328). Darunter fällt insbesondere eine unvollständige Sachverhaltsabklärung aufgrund einer klaren Verletzung des Untersuchungsgrundsatzes (vgl. Art. 43 Abs. 1 ATSG ). Eine auf keiner nachvollziehbaren ärztlichen Einschätzung der massgeblichen Arbeitsfähigkeit beruhende Invaliditätsbemessung ist nicht rechtskonform und die entsprechende Verfügung zweifellos unrichtig im wiedererwägungsrechtlichen Sinne (Urteile 8C_280/2017 vom 28. Juli 2017 E. 2.3 sowie 9C_633/2015 vom 3. November 2015 E. 2.1, je mit Hinweisen).</w:t>
      </w:r>
    </w:p>
    <w:p>
      <w:r>
        <w:rPr>
          <w:b/>
        </w:rPr>
        <w:t>E. 3.1</w:t>
      </w:r>
    </w:p>
    <w:p>
      <w:r>
        <w:t>Der Beschwerdeführer bestreitet zunächst das Vorliegen eines Wiedererwägungsgrundes. Gemäss den vorinstanzlichen Feststellungen beruhte die ursprüngliche Leistungszusprache lediglich auf einem Arztbericht mit beigelegtem Bericht an den Hausarzt sowie zwei Berichterstattungen aus dem durchgeführten Arbeitstraining. Der behandelnde Arzt war damals zum Schluss gelangt, dass in einer leidensangepassten Tätigkeit keine Arbeitsunfähigkeit bestehe. Beim Arbeitstraining in einer geschützten Werkstatt konnte der Versicherte demgegenüber nur ein 50 % Pensum ausführen. Ohne diesen Widerspruch aufzulösen oder seine Ansicht näher zu begründen, empfahl der ärztliche Dienst der Beschwerdegegnerin, von einer Arbeitsunfähigkeit von 70 % auszugehen und den Versicherten entsprechend zu berenten. Die Rentenzusprache einzig gestützt auf die im Verfügungszeitpunkt vorliegenden, sich teilweise widersprechenden Akten verstiess in klarer Weise gegen den Untersuchungsgrundsatz und verkannte, dass eine Invaliditätsbemessung auf einer nachvollziehbaren ärztlichen Einschätzung der massgeblichen Arbeitsfähigkeit zu beruhen hat. Dieser Grundsatz galt entgegen den Vorbringen des Beschwerdeführers bereits nach der im Verfügungszeitpunkt geltenden Rechtslage, unter Einschluss der Verwaltungs- und Gerichtspraxis. Somit hat das kantonale Gericht kein Bundesrecht verletzt, als es einen Wiedererwägungsgrund bejaht hat.</w:t>
      </w:r>
    </w:p>
    <w:p>
      <w:r>
        <w:rPr>
          <w:b/>
        </w:rPr>
        <w:t>E. 3.2</w:t>
      </w:r>
    </w:p>
    <w:p>
      <w:r>
        <w:t>Durften Vorinstanz und Verwaltung somit wiedererwägungsweise auf die Rentenzusprache zurückkommen, so ist der Rentenanspruch für die Zukunft ("ex nunc et pro futuro") in all seinen Teilen neu zu prüfen (SVR 2019 UV Nr. 1 S. 41, 8C_525/2017 E. 7.3; Urteil 9C_598/2018 vom 29. November 2018 E. 4.4). Der Versicherte bestreitet nicht, dass bei einer (freien) Neuprüfung seines Rentenanspruchs für die Zukunft kein rentenbegründender Invaliditätsgrad besteht. Er macht jedoch geltend, eine bundesrechtskonforme Rentenaufhebung würde die vorgängige Durchführung beruflicher Massnahmen voraussetzen.</w:t>
      </w:r>
    </w:p>
    <w:p>
      <w:r>
        <w:rPr>
          <w:b/>
        </w:rPr>
        <w:t>E. 3.2.1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auch Urteil 9C_707/2018 vom 26. März 2019 E. 4.1 und 5.1).</w:t>
      </w:r>
    </w:p>
    <w:p>
      <w:r>
        <w:rPr>
          <w:b/>
        </w:rPr>
        <w:t>E. 3.2.2</w:t>
      </w:r>
    </w:p>
    <w:p>
      <w:r>
        <w:t>Gemäss den verbindlichen vorinstanzlichen Feststellungen war der Beschwerdeführer bei Erlass der rentenaufhebenden Verfügung 54 Jahre alt und hatte während fast 19 Jahren eine ganze Rente der Invalidenversicherung bezogen. Somit fällt er grundsätzlich in die Kategorie jener versicherten Personen, die vor einer Rentenaufhebung Anspruch auf Eingliederungsmassnahmen haben. Das kantonale Gericht verneinte indessen einen Anspruch auf solche Massnahmen unter Hinweis auf die im Rahmen der Begutachtung gezeigte fehlende subjektive Eingliederungsfähigkeit.</w:t>
      </w:r>
    </w:p>
    <w:p>
      <w:r>
        <w:rPr>
          <w:b/>
        </w:rPr>
        <w:t>E. 3.2.3</w:t>
      </w:r>
    </w:p>
    <w:p>
      <w:r>
        <w:t>Entgegen den vorinstanzlichen Erwägungen lässt sich ein Anspruch auf Eingliederungsmassnahmen nicht bereits mit dem von der Vorinstanz festgestellten Verhalten im Rahmen der Begutachtung mit übertriebenem Krankheitsgebaren verneinen. Dieses in der Abklärung des Rentenanspruchs gezeigte Verhalten hätte nur (aber immerhin) Anlass gegeben, die Motivation des Beschwerdeführers für Eingliederungsmassnahmen näher zu prüfen. Wie dieser sodann zutreffend geltend macht, schliesst auch sein Hauptantrag auf Weiterausrichtung der Invalidenrente einen Anspruch auf Eingliederungsmassnahmen vor der Rentenaufhebung ebenfalls nicht aus (vgl. etwa SVR 2015 IV Nr. 41 S. 139, 9C_183/2015). Damit darf entgegen den diesbezüglich bundesrechtswidrigen Erwägungen der Vorinstanz aus den gestellten Anträgen nicht auf eine fehlende subjektive Eingliederungsbereitschaft geschlossen werden. Andere Anhaltspunkte, die für eine aus eigenen Kräften gelingende Wiedereingliederung sprechen würden, hat die Vorinstanz nicht erhoben. Die Rentenaufhebung ohne vorherige Abklärungen zur Notwendigkeit befähigender Massnahmen ist daher bundesrechtswidrig. Mithin hat die Beschwerdegegnerin - die Motivation des Beschwerdeführers vorausgesetzt ( Art. 21 Abs. 4 ATSG ) - die Verwertbarkeit der nunmehr festgestellten Arbeitsfähigkeit zu prüfen und gegebenenfalls Eingliederungsmassnahmen an die Hand zu nehmen. Anschliessend ist über die wiedererwägungsweise Aufhebung des Rentenanspruchs neu zu verfügen.</w:t>
      </w:r>
    </w:p>
    <w:p>
      <w:r>
        <w:rPr>
          <w:b/>
        </w:rPr>
        <w:t>E. 4</w:t>
      </w:r>
    </w:p>
    <w:p>
      <w:r>
        <w:t>Dem Verfahrensausgang entsprechend sind die Gerichtskosten der unterliegenden Beschwerdegegnerin aufzuerlegen ( Art. 66 Abs. 1 Satz 1 BGG ), welche dem Beschwerdeführer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