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8C_235/2010 vom 4. November 2010</w:t>
      </w:r>
    </w:p>
    <w:p>
      <w:r>
        <w:t>Bundesgericht, 2010-11-04, FR</w:t>
      </w:r>
    </w:p>
    <w:p>
      <w:r>
        <w:rPr>
          <w:b/>
        </w:rPr>
        <w:t xml:space="preserve">Quelle: </w:t>
      </w:r>
      <w:r>
        <w:t>https://mcp.opencaselaw.ch/entscheid/bger_8C_235_2010</w:t>
      </w:r>
    </w:p>
    <w:p>
      <w:r>
        <w:t>FR: TF 8C_235/2010 du 4 novembre 2010</w:t>
      </w:r>
    </w:p>
    <w:p>
      <w:r>
        <w:t>IT: TF 8C_235/2010 del 4 novembre 2010</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 Schaffhauser/ Schlauri [éd.], Sozialversicherungsrechtstagung 2008, St-Gall 2009, p. 9 ss).</w:t>
      </w:r>
    </w:p>
    <w:p>
      <w:r>
        <w:rPr>
          <w:b/>
        </w:rPr>
        <w:t>E. 1.2</w:t>
      </w:r>
    </w:p>
    <w:p>
      <w:r>
        <w:t>Par le jugement attaqué, la juridiction cantonale a annulé les décisions administratives du 16 janvier 2008 et renvoyé la cause à l'office AI pour nouvelle décision au sens du considérant 4c. Dans ce considérant, elle a reconnu le droit de l'assuré, pour les périodes du 1er au 31 août 2004 et du 1er avril au 30 septembre 2005, à trois-quarts de rente en lieu et place d'une demi-rente. Pour le surplus, le tribunal cantonal a confirmé les décisions attaquées.</w:t>
      </w:r>
    </w:p>
    <w:p>
      <w:r>
        <w:t>Ce jugement est une décision finale au sens de l' art. 90 LTF . Certes, la juridiction cantonale renvoie la cause à l'office AI pour nouveau calcul des prestations, y compris un intérêt moratoire à 5 % l'an sur les montants encore dus pour les périodes du 1er au 31 août 2004 et du 1er avril au 30 septembre 2005. Cependant, ce renvoi ne laisse aucune latitude à l'administration mais concerne un simple calcul des prestations reconnues par le tribunal cantonal.</w:t>
      </w:r>
    </w:p>
    <w:p>
      <w:r>
        <w:t>Le recours est ainsi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mais il n'examine la violation de droits fondamentaux, ainsi que celle de dispositions de droit cantonal ou intercantonal, que si ce grief a été invoqué et motivé par le recourant ( art. 106 LTF ; sur les exigences quant à la motivation, cf. ATF 133 II 396 consid. 3.1 p. 399 et arrêt 9C_722/2007 du 11 avril 2008 consid. 1.2).</w:t>
      </w:r>
    </w:p>
    <w:p>
      <w:r>
        <w:rPr>
          <w:b/>
        </w:rPr>
        <w:t>E. 3.1</w:t>
      </w:r>
    </w:p>
    <w:p>
      <w:r>
        <w:t>Par un premier moyen, le recourant invoque une violation de son droit d'être entendu. Il reproche à la juridiction cantonale d'avoir écarté, sans dire au moins brièvement pourquoi ils n'étaient pas fondés, ses griefs selon lesquels on ne pouvait, en raison de ses différentes atteintes à la santé, se référer simplement aux activités simples et répétitives correspondant au niveau de qualification 4 de l'Enquête suisse sur la structure des salaires (ESS) pour évaluer son revenu d'invalide.</w:t>
      </w:r>
    </w:p>
    <w:p>
      <w:r>
        <w:rPr>
          <w:b/>
        </w:rPr>
        <w:t>E. 3.2</w:t>
      </w:r>
    </w:p>
    <w:p>
      <w:r>
        <w:t>Une autorité qui ne traite pas un grief relevant de sa compétence, motivé de façon suffisante et pertinente pour l'issue du litige, commet un déni de justice formel proscrit par l' art. 29 al. 1 Cst. ( ATF 117 Ia 116 consid. 3a p. 117; Pra 2003 n° 119 p. 633, 1P. 15/2003 consid. 2; arrêt 9C_561/2009 du 14 janvier 2010 consid. 6.2). Par ailleurs, 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 ATF 129 I 232 consid. 3.2 p. 236; 126 I 97 consid. 2b p. 102 s.).</w:t>
      </w:r>
    </w:p>
    <w:p>
      <w:r>
        <w:t>Le droit d'être entendu est une garantie constitutionnelle de caractère formel, dont la violation doit en principe entraîner l'annulation de la décision attaquée indépendamment des chances de succès du recourant sur le fond ( ATF 127 V 431 consid. 3d/aa p. 437).</w:t>
      </w:r>
    </w:p>
    <w:p>
      <w:r>
        <w:rPr>
          <w:b/>
        </w:rPr>
        <w:t>E. 3.3</w:t>
      </w:r>
    </w:p>
    <w:p>
      <w:r>
        <w:t>En l'occurrence, dans son recours devant la juridiction cantonale, l'intéressé s'est contenté d'affirmer que l'ESS n'était pas applicable parce que les activités simples et répétitives correspondant au niveau de qualification 4 n'étaient pas conciliables avec ses différents problèmes de santé. Ainsi, ce grief n'apparaît pas suffisamment motivé pour qu'il faille reprocher aux premiers juges d'avoir renoncé à le discuter. Le moyen tiré de la violation du droit d'être entendu se révèle dès lors mal fondé.</w:t>
      </w:r>
    </w:p>
    <w:p>
      <w:r>
        <w:rPr>
          <w:b/>
        </w:rPr>
        <w:t>E. 4</w:t>
      </w:r>
    </w:p>
    <w:p>
      <w:r>
        <w:t>Le litige porte sur le droit éventuel du recourant au maintien de sa rente entière d'invalidité au-delà du 31 janvier 2000.</w:t>
      </w:r>
    </w:p>
    <w:p>
      <w:r>
        <w:t>Le jugement attaqué expose de manière exacte et complète la réglementation légale et la jurisprudence applicables, de sorte qu'il suffit d'y renvoyer.</w:t>
      </w:r>
    </w:p>
    <w:p>
      <w:r>
        <w:rPr>
          <w:b/>
        </w:rPr>
        <w:t>E. 5.1</w:t>
      </w:r>
    </w:p>
    <w:p>
      <w:r>
        <w:t>Par un premier grief de fond, le recourant invoque une constatation arbitraire des faits par la juridiction cantonale, laquelle a retenu qu'il était en mesure d'exercer une activité simple et répétitive. Or, selon l'intéressé, une telle activité exige en général l'usage des deux mains, ainsi qu'une certaine dextérité, voire une dextérité fine, soit des aptitudes qu'il ne possède pas en raison d'un handicap au membre supérieur. En outre, l'intéressé reproche aux premiers juges de n'avoir pas tenu compte du fait que les descriptions de postes de travail (DPT) établies par la CNA dans le cadre de la procédure relative aux prestations de l'assurance-accidents comprenaient des activités qui n'étaient pas compatibles avec son état.</w:t>
      </w:r>
    </w:p>
    <w:p>
      <w:r>
        <w:rPr>
          <w:b/>
        </w:rPr>
        <w:t>E. 5.2</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et si la correction du vice est susceptible d'influer sur le sort de la cause.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134 V 53 consid. 4.3 p. 62 et les références). Il appartient au recourant de démontrer le caractère arbitraire par une argumentation répondant aux exigences de l' art. 42 al. 2 LTF , respectivement de l' art. 106 al. 2 LTF ( ATF 133 II 249 consid. 1.4.3 p. 254 s.).</w:t>
      </w:r>
    </w:p>
    <w:p>
      <w:r>
        <w:rPr>
          <w:b/>
        </w:rPr>
        <w:t>E. 5.3</w:t>
      </w:r>
    </w:p>
    <w:p>
      <w:r>
        <w:t>En l'espèce, le recours ne contient toutefois aucune démonstration du caractère arbitraire de l'état de fait du jugement attaqué. En effet, le recourant n'expose pas en quoi l'appréciation des preuves par le tribunal cantonal est manifestement insoutenable. Son argumentation tend plutôt à substituer sa propre appréciation à celle de l'autorité précédente. Au demeurant, on relèvera qu'en dépit de son handicap à la main gauche, séquelles d'un accident survenu à l'âge de 5 ans, le recourant a exercé sans restriction une activité de machiniste jusqu'à l'apparition des troubles aux membres inférieurs. Quant au grief concernant les DPT, il tombe à faux, du moment qu'en l'occurrence le revenu d'invalide n'a pas été déterminé sur la base des données salariales résultant des DPT.</w:t>
      </w:r>
    </w:p>
    <w:p>
      <w:r>
        <w:rPr>
          <w:b/>
        </w:rPr>
        <w:t>E. 6</w:t>
      </w:r>
    </w:p>
    <w:p>
      <w:r>
        <w:t>Par un second grief de fond, le recourant invoque une violation du droit. Il fait valoir qu'en se référant aux données salariales de l'ESS concernant les activités simples et répétitives, la juridiction cantonale a violé la règle jurisprudentielle selon laquelle le revenu d'invalide ne doit pas être évalué en fonction d'une seule activité déterminée ou d'un tout petit nombre d'entre elles seulement. A cet égard, l'intéressé reproche aux premiers juges de n'avoir pas démontré, en faisant référence aux activités simples et répétitives, que le marché du travail lui offre un choix suffisamment diversifié et vaste d'activités adaptées à son handicap.</w:t>
      </w:r>
    </w:p>
    <w:p>
      <w:r>
        <w:t>Ce grief est également mal fondé. La jurisprudence invoquée par le recourant ( ATF 129 V 472 consid. 4.2.2 p. 480) concerne, en effet, les conditions auxquelles est soumise la détermination du revenu d'invalide au moyen des données salariales résultant des DPT. Pour le reste, les critiques dirigées contre l'appréciation du caractère exigible d'une activité simple et répétitive sont de nature purement appellatoire et, partant, irrecevables.</w:t>
      </w:r>
    </w:p>
    <w:p>
      <w:r>
        <w:rPr>
          <w:b/>
        </w:rPr>
        <w:t>E. 7</w:t>
      </w:r>
    </w:p>
    <w:p>
      <w:r>
        <w:t>Vu ce qui précède, le jugement entrepris n'est pas critiquable et le recours se révèle mal fondé.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