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234/2024 vom 7. Mai 2024</w:t>
      </w:r>
    </w:p>
    <w:p>
      <w:r>
        <w:t>Bundesgericht, 2024-05-07, DE</w:t>
      </w:r>
    </w:p>
    <w:p>
      <w:r>
        <w:rPr>
          <w:b/>
        </w:rPr>
        <w:t xml:space="preserve">Quelle: </w:t>
      </w:r>
      <w:r>
        <w:t>https://mcp.opencaselaw.ch/entscheid/bger_8C_234_2024</w:t>
      </w:r>
    </w:p>
    <w:p>
      <w:r>
        <w:t>FR: TF 8C 234/2024 du 7 mai 2024</w:t>
      </w:r>
    </w:p>
    <w:p>
      <w:r>
        <w:t>IT: TF 8C 234/2024 del 7 maggio 2024</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 Ein Gesuch um unentgeltliche Rechtspflege vermag daran nicht zu ändern (statt vieler: Urteil 8C_735/2023 vom 20. November 2023 E. 3 mit Hinweisen).</w:t>
      </w:r>
    </w:p>
    <w:p>
      <w:r>
        <w:rPr>
          <w:b/>
        </w:rPr>
        <w:t>E. 3</w:t>
      </w:r>
    </w:p>
    <w:p>
      <w:r>
        <w:t>Die Vorinstanz legte im angefochtenen Urteil vom 6. März 2024 in Auseinandersetzung mit den Parteivorbringen und in Würdigung der Akten dar, weshalb die Beschwerdegegnerin mit Einspracheentscheid vom 29. November 2022 die Taggelder per 31. August 2015 und die Übernahme der Heilungskosten per 31. Januar 2017 einstellen und den Anspruch auf eine Invalidenrente nach UVG verneinen durfte. Ebenso bestätigte sie das Festhalten an der bereits zu einem früheren Zeitpunkt ausgerichteten Integritätsentschädigung von 25 %.</w:t>
      </w:r>
    </w:p>
    <w:p>
      <w:r>
        <w:rPr>
          <w:b/>
        </w:rPr>
        <w:t>E. 4</w:t>
      </w:r>
    </w:p>
    <w:p>
      <w:r>
        <w:t>Was der Beschwerdeführer vorträgt, vermag den unter E. 1 hiervor wiedergegebenen Mindestanforderungen an eine sachbezogene Beschwerde nicht zu genügen. So macht er etwa eine Verletzung des Anspruchs auf unentgeltliche Rechtspflege geltend, ohne indessen näher darzutun, inwiefern die Vorinstanz, welche das Verfahren kostenfrei erledigt hat, dagegen verstossen haben soll. Allein zu behaupten, um einen kostenlosen Anwalt ersucht zu haben, reicht in diesem Zusammenhang nicht aus. Inwiefern das internationale Recht ihm sodann einen Anspruch auf einen vom Gericht kostenfrei zur Verfügung zu stellenden Übersetzer verleihen sollte, führt er ebenso wenig aus. Im Übrigen beschränkt er sich im Wesentlichen darauf, seine Sicht der Dinge darzutun und dabei Vorinstanz wie auch Gegenpartei in teils ungebührlicher Art und Weise pauschal für unfähig zu erklären, seinem Anliegen gerecht zu werden (zu den möglichen Konsequenzen ungebührlicher Beschwerdeführung vgl. Art. 33 Abs. 1 und Art. 42 Abs. 6 BGG ). Eine eigentliche Auseinandersetzung mit der von der Vorinstanz vorgenommenen, zur Bestätigung des Einspracheentscheids vom 29. November 2022 führenden Würdigung der Arztberichte findet nicht statt. Inwiefern die Einvernahme einer in der Beschwerde genannten Zeugin bedeutsam gewesen wäre, wird nicht ausgeführt. Insgesamt gehen die Vorbringen des Beschwerdeführers - soweit überhaupt sachbezogen vorgetragen - trotz ihres Umfangs nicht über eine letztinstanzlich unzulässige appellatorische Kritik hinaus.</w:t>
      </w:r>
    </w:p>
    <w:p>
      <w:r>
        <w:rPr>
          <w:b/>
        </w:rPr>
        <w:t>E. 5</w:t>
      </w:r>
    </w:p>
    <w:p>
      <w:r>
        <w:t>Da dieser Begründungsmangel offensichtlich ist, führt dies zu einem Nichteintreten auf das Rechtsmittel im vereinfachten Verfahren nach Art. 108 Abs. 1 lit. b BGG .</w:t>
      </w:r>
    </w:p>
    <w:p>
      <w:r>
        <w:rPr>
          <w:b/>
        </w:rPr>
        <w:t>E. 6</w:t>
      </w:r>
    </w:p>
    <w:p>
      <w:r>
        <w:t>Das in der Beschwerdeschrift gestellte Gesuch um unentgeltliche Rechtspflege ist wegen aussichtsloser Beschwerdeführung abzuweisen ( Art. 64 Abs. 1 BGG ).</w:t>
      </w:r>
    </w:p>
    <w:p>
      <w:r>
        <w:rPr>
          <w:b/>
        </w:rPr>
        <w:t>E. 7</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