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8C_233/2026 vom 30. April 2026</w:t>
      </w:r>
    </w:p>
    <w:p>
      <w:r>
        <w:t>Bundesgericht, 2026-04-30, DE</w:t>
      </w:r>
    </w:p>
    <w:p>
      <w:r>
        <w:rPr>
          <w:b/>
        </w:rPr>
        <w:t xml:space="preserve">Quelle: </w:t>
      </w:r>
      <w:r>
        <w:t>https://mcp.opencaselaw.ch/entscheid/bger_8C_233_2026</w:t>
      </w:r>
    </w:p>
    <w:p>
      <w:r>
        <w:t>FR: TF 8C_233/2026 du 30 avril 2026</w:t>
      </w:r>
    </w:p>
    <w:p>
      <w:r>
        <w:t>IT: TF 8C_233/2026 del 30 aprile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Entscheid vom 11. Februar 2026 in Auseinandersetzung mit den Parteivorbringen und in Würdigung der Akten dar, weshalb die Beschwerdegegnerin mit Verfügung vom 24. Juni 2025 von einem fehlenden Anspruch auf berufliche Massnahmen und eine Invalidenrente ausgehen durfte. Dabei sprach es dem polydisziplinären Verlaufsgutachten der SMAB AG St. Gallen vom 13. März 2025 vollen Beweiswert zu. Gestützt darauf legte die Vorinstanz die medizinisch-theoretische Arbeitsfähigkeit in einer dem Leiden angepassten Tätigkeit, worunter auch die angestammte Tätigkeit als Serviceangestellter falle, auf 100 % fest, was einen Leistungsanspruch des Beschwerdeführers ausschliesse.</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 wie bundesrechtswidrig sein sollen. Ebenso wenig legt er dar, weshalb die darauf beruhenden Erwägungen gegen Bundesrecht verstossen oder einen anderen Beschwerdegrund (vgl. Art. 95 lit. a-e BGG ) gesetzt haben könnten. Allein pauschal auf die Lebensumstände und bisherigen Arbeitsversuche zu verweisen und um Unterstützung bei der Arbeitssuche bzw. dem beruflichen Wiedereinstieg zu ersuchen, reicht nicht aus.</w:t>
      </w:r>
    </w:p>
    <w:p>
      <w:r>
        <w:rPr>
          <w:b/>
        </w:rPr>
        <w:t>E. 4</w:t>
      </w:r>
    </w:p>
    <w:p>
      <w:r>
        <w:t>Das Gesuch um unentgeltliche Rechtspflege ist wegen aussichtsloser Beschwerdeführung abzuweisen ( Art. 64 Abs. 1 BGG ).</w:t>
      </w:r>
    </w:p>
    <w:p>
      <w:r>
        <w:t>In Anwendung von Art. 66 Abs. 1 Satz 2 BGG wird indessen ausnahmsweise nochmals (zuletzt Urteil 8C_998/2009 vom 5. Dezember 2009) auf die Erhebung von Gerichtskosten verzichtet. Bei ähnlicher Beschwerdeführung darf inskünftig indessen nicht mehr mit dieser Rechtswohltat 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