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8C_233/2025 vom 17. Juni 2025</w:t>
      </w:r>
    </w:p>
    <w:p>
      <w:r>
        <w:t>Bundesgericht, 2025-06-17, DE</w:t>
      </w:r>
    </w:p>
    <w:p>
      <w:r>
        <w:rPr>
          <w:b/>
        </w:rPr>
        <w:t xml:space="preserve">Quelle: </w:t>
      </w:r>
      <w:r>
        <w:t>https://mcp.opencaselaw.ch/entscheid/bger_8C_233_2025</w:t>
      </w:r>
    </w:p>
    <w:p>
      <w:r>
        <w:t>FR: TF 8C_233/2025 du 17 juin 2025</w:t>
      </w:r>
    </w:p>
    <w:p>
      <w:r>
        <w:t>IT: TF 8C_233/2025 del 17 giugno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Entscheids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legte im angefochtenen Urteil in Auseinandersetzung mit den Parteivorbringen und in Würdigung der Beweismittel dar, weshalb dem Beschwerdeführer für den "Zertifikationsstudiengang Treuhandwesen" an der Universität U.________ keine Ausbildungszuschüsse gemäss Art. 66a AVIG gewährt werden können. Auch führte es aus, weder im Zeitpunkt der Gesuchseinreichung zur Ausrichtung von Taggeldern zwecks Förderung der selbstständigen Erwerbstätigkeit nach Art. 71a AVIG noch beim Entscheid darüber sei eine solche arbeitsmarktliche Massnahme indiziert gewesen, da der Beschwerdeführer sich zu dieser Zeit in einem ungekündigten und unbefristeten Vollzeitarbeitsverhältnis befunden habe. Damit erweise sich die Ablehnung dieses Gesuches durch den Beschwerdegegner als rechtens. Abgesehen davon sei der (zusätzlich) leistungsvoraussetzende aktuelle Bedarf an Hypothekenmaklerinnen und -maklern in V.________ ohnehin nicht erstellt gewesen.</w:t>
      </w:r>
    </w:p>
    <w:p>
      <w:r>
        <w:rPr>
          <w:b/>
        </w:rPr>
        <w:t>E. 3</w:t>
      </w:r>
    </w:p>
    <w:p>
      <w:r>
        <w:t>Der Beschwerdeführer zeigt nicht auf, inwieweit die von der Vorinstanz in diesem Zusammenhang getroffenen Sachverhaltsfeststellungen offensichtlich unrichtig im Sinne von Art. 97 Abs. 1 BGG , das heisst willkürlich ( BGE 146 IV 88 E. 1.3.1 f.; 140 III 115 E. 2; je mit Hinweisen) sein und die darauf beruhenden Erwägungen gegen Bundesrecht verstossen oder einen anderen Beschwerdegrund (vgl. Art. 95 lit. a-e BGG ) gesetzt haben sollen. Er unterlässt es, sich mit den von der Vorinstanz zum fehlenden Anspruch auf Taggelder nach Art. 71a AVIG gemachten Erwägungen näher auseinanderzusetzen. Stattdessen bringt er ausserhalb davon Liegendes vor. Ebenso wenig reicht es aus, den vorinstanzlichen Erwägungen zum fehlenden Anspruch auf die beantragten Ausbildungszuschüsse pauschal entgegenzuhalten, das kantonale Gericht verkenne dabei die Bedeutung der anvisierten Weiterbildung für die damals noch ausgeübte Tätigkeit bei einer Arbeitgeberin in U.________. Inwiefern das dazu insbesondere in Erwägung 5 des angefochtenen Urteils Ausgeführte rechtsfehlerhaft sein soll, wird nicht dargelegt.</w:t>
      </w:r>
    </w:p>
    <w:p>
      <w:r>
        <w:rPr>
          <w:b/>
        </w:rPr>
        <w:t>E. 4</w:t>
      </w:r>
    </w:p>
    <w:p>
      <w:r>
        <w:t>Fehlt es offensichtlich an einer sachbezogenen Begründung, so führt dies zu einem Nichteintreten auf das Rechtsmittel im vereinfachten Verfahren nach Art. 108 Abs. 1 lit. b BGG .</w:t>
      </w:r>
    </w:p>
    <w:p>
      <w:r>
        <w:rPr>
          <w:b/>
        </w:rPr>
        <w:t>E. 5</w:t>
      </w:r>
    </w:p>
    <w:p>
      <w:r>
        <w:t>Die Gerichtskosten sind ausgangsgemäss dem Beschwerdeführer zu überbinden (Art. 6 Abs. 1 Satz.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