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232/2023 vom 30. Mai 2023</w:t>
      </w:r>
    </w:p>
    <w:p>
      <w:r>
        <w:t>Bundesgericht, 2023-05-30, DE</w:t>
      </w:r>
    </w:p>
    <w:p>
      <w:r>
        <w:rPr>
          <w:b/>
        </w:rPr>
        <w:t xml:space="preserve">Quelle: </w:t>
      </w:r>
      <w:r>
        <w:t>https://mcp.opencaselaw.ch/entscheid/bger_8C_232_2023</w:t>
      </w:r>
    </w:p>
    <w:p>
      <w:r>
        <w:t>FR: TF 8C 232/2023 du 30 mai 2023</w:t>
      </w:r>
    </w:p>
    <w:p>
      <w:r>
        <w:t>IT: TF 8C 232/2023 del 30 maggio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Soweit A.A________ als Ehegatte von B.A.________ in eigenem Namen Beschwerde führt, kann darauf bereits mangels persönlicher Beschwer im Sinne von Art. 89 Abs. 1 BGG nicht eingetreten werden.</w:t>
      </w:r>
    </w:p>
    <w:p>
      <w:r>
        <w:rPr>
          <w:b/>
        </w:rPr>
        <w:t>E. 3</w:t>
      </w:r>
    </w:p>
    <w:p>
      <w:r>
        <w:t>Die Vorinstanz bestätigte im angefochtenen Urteil vom 3. März 2023 die von der Beschwerdegegnerin gestützt auf Art. 30 Abs. 1 lit. d und Abs. 3 AVIG in Verbindung mit Art. 45 Abs. 3 AVIV vorgenommene Einstellung in der Anspruchsberechtigung auf Arbeitslosentaggelder von sechs Tagen. In prozessualer Hinsicht legte sie dabei dar, weshalb vorliegend kein Anlass bestanden habe, der Beschwerdeführerin eine unentgeltliche Rechtsvertretung zu bestellen.</w:t>
      </w:r>
    </w:p>
    <w:p>
      <w:r>
        <w:rPr>
          <w:b/>
        </w:rPr>
        <w:t>E. 4</w:t>
      </w:r>
    </w:p>
    <w:p>
      <w:r>
        <w:t>Die Beschwerdeführerin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Insbesondere genügt es nicht, pauschal einzelne Verfassungsbestimmungen als verletzt zu behaupten und im Übrigen den Geschehensablauf aus eigener Sicht zu schildern. Dieser Begründungsmangel, der nicht nur hinsichtlich der Einstellung in der Anspruchsberechtigung, sondern auch bezüglich der unentgeltlichen Rechtsvertretung besteht, ist offensichtlich.</w:t>
      </w:r>
    </w:p>
    <w:p>
      <w:r>
        <w:rPr>
          <w:b/>
        </w:rPr>
        <w:t>E. 5</w:t>
      </w:r>
    </w:p>
    <w:p>
      <w:r>
        <w:t>Dies führt zu einem Nichteintreten auf das Rechtsmittel im vereinfachten Verfahren nach Art. 108 Abs. 1 lit. a und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