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8C_231/2026 vom 8. April 2026</w:t>
      </w:r>
    </w:p>
    <w:p>
      <w:r>
        <w:t>Bundesgericht, 2026-04-08, DE</w:t>
      </w:r>
    </w:p>
    <w:p>
      <w:r>
        <w:rPr>
          <w:b/>
        </w:rPr>
        <w:t xml:space="preserve">Quelle: </w:t>
      </w:r>
      <w:r>
        <w:t>https://mcp.opencaselaw.ch/entscheid/bger_8C_231_2026</w:t>
      </w:r>
    </w:p>
    <w:p>
      <w:r>
        <w:t>FR: TF 8C_231/2026 du 8 avril 2026</w:t>
      </w:r>
    </w:p>
    <w:p>
      <w:r>
        <w:t>IT: TF 8C_231/2026 del 8 aprile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8C_231/2026</w:t>
      </w:r>
    </w:p>
    <w:p>
      <w:r>
        <w:t>Urteil vom 8. April 2026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unbekannt,</w:t>
      </w:r>
    </w:p>
    <w:p>
      <w:r>
        <w:t>Beschwerde gegen eine Verfügung des Bundesverwaltungsgerichts vom 4. Februar 2026 (C-9712/2025).</w:t>
      </w:r>
    </w:p>
    <w:p>
      <w:r>
        <w:t>Nach Einsicht</w:t>
      </w:r>
    </w:p>
    <w:p>
      <w:r>
        <w:t>in die Beschwerde vom 3. März 2026 gegen eine nicht beigelegte Verfügung C-9712/2025 des Bundesverwaltungsgerichts vom 4. Februar 2026,</w:t>
      </w:r>
    </w:p>
    <w:p>
      <w:r>
        <w:t>in die Verfügung vom 6. März 2026, mit welcher das Bundesgericht A.________erklärt, weshalb die Rechtsmittelfrist als gerichtliche Frist nicht erstreckbar ist, und ihn überdies auffordert, bis zum 19. März 2026 die angefochtene Verfügung beizubringen, andernfalls die Rechtsschrift unbeachtet bleibe,</w:t>
      </w:r>
    </w:p>
    <w:p>
      <w:r>
        <w:t>in Erwägung,</w:t>
      </w:r>
    </w:p>
    <w:p>
      <w:r>
        <w:t>dass der Beschwerdeführer den ihm vom Gericht gemäss Art. 42 Abs. 5 BGG angezeigten Formmangel der fehlenden Beilagen nicht innerhalb der mit Verfügung vom 6. März 2026 angesetzten, am 19. März 2026 abgelaufenen ( Art. 44 - 48 BGG ) Nachfrist behoben hat,</w:t>
      </w:r>
    </w:p>
    <w:p>
      <w:r>
        <w:t>dass abgesehen davon die Beschwerdeschrift lediglich verfahrensleitende Anträge, nicht jedoch solche in der Sache selbst umfasst, geschweige denn diese näher begründet,</w:t>
      </w:r>
    </w:p>
    <w:p>
      <w:r>
        <w:t>dass damit die Beschwerde auch nicht den minimalen Begründungsanforderungen gemäss Art. 42 Abs. 1 und 2 BGG genügt,</w:t>
      </w:r>
    </w:p>
    <w:p>
      <w:r>
        <w:t>dass deshalb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 und dem Bundesverwaltungsgericht schriftlich mitgeteilt.</w:t>
      </w:r>
    </w:p>
    <w:p>
      <w:r>
        <w:t>Luzern, 8. April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