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8C_230/2025 vom 5. Mai 2025</w:t>
      </w:r>
    </w:p>
    <w:p>
      <w:r>
        <w:t>Bundesgericht, 2025-05-05, DE</w:t>
      </w:r>
    </w:p>
    <w:p>
      <w:r>
        <w:rPr>
          <w:b/>
        </w:rPr>
        <w:t xml:space="preserve">Quelle: </w:t>
      </w:r>
      <w:r>
        <w:t>https://mcp.opencaselaw.ch/entscheid/bger_8C_230_2025</w:t>
      </w:r>
    </w:p>
    <w:p>
      <w:r>
        <w:t>FR: TF 8C_230/2025 du 5 mai 2025</w:t>
      </w:r>
    </w:p>
    <w:p>
      <w:r>
        <w:t>IT: TF 8C_230/2025 del 5 maggio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Das kantonale Gericht bestätigte mit Urteil vom 5. Februar 2025 den Einspracheentscheid der Beschwerdegegnerin vom 18. November 2024, wonach keine Leistungspflicht für den am 19. Oktober 2021 gemeldeten Zahnschaden bestehe. Dabei verneinte es in Auseinandersetzung mit den Parteivorbringen und in Würdigung der Akten das Vorliegen eines Unfalles nach Art. 4 ATSG . Darüber hinaus legte es näher dar, dass selbst wenn von einem Unfallereignis im Rechtssinne ausgegangen werden könnte, eine Leistungspflicht mangels Kausalzusammenhangs zwischen dem Ereignis und dem Zahnschaden ausser Frage stehe.</w:t>
      </w:r>
    </w:p>
    <w:p>
      <w:r>
        <w:rPr>
          <w:b/>
        </w:rPr>
        <w:t>E. 3</w:t>
      </w:r>
    </w:p>
    <w:p>
      <w:r>
        <w:t>Der Beschwerdeführer thematisiert letztinstanzlich allein Letzteres. Inwieweit die von der Vorinstanz im Zusammenhang mit der Verneinung eines Unfalls im Rechtssinne getroffenen Sachverhaltsfeststellungen gemäss Art. 97 Abs. 2 BGG unrichtig sein und die darauf beruhenden Erwägungen gegen Bundesrecht verstossen oder einen anderen Beschwerdegrund (vgl. Art. 95 lit. a-e BGG ) gesetzt haben sollen, legt er nicht näher dar. Allein auf ein Foto zu verweisen, reicht nicht aus. Damit ist den gemäss E. 1 am Ende hiervor gebotenen Mindestanforderungen an eine Beschwerdebegründung nicht Genüge 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