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22/2023 vom 7. Februar 2023</w:t>
      </w:r>
    </w:p>
    <w:p>
      <w:r>
        <w:t>Bundesgericht, 2023-02-07, DE</w:t>
      </w:r>
    </w:p>
    <w:p>
      <w:r>
        <w:rPr>
          <w:b/>
        </w:rPr>
        <w:t xml:space="preserve">Quelle: </w:t>
      </w:r>
      <w:r>
        <w:t>https://mcp.opencaselaw.ch/entscheid/bger_8C_22_2023</w:t>
      </w:r>
    </w:p>
    <w:p>
      <w:r>
        <w:t>FR: TF 8C 22/2023 du 7 février 2023</w:t>
      </w:r>
    </w:p>
    <w:p>
      <w:r>
        <w:t>IT: TF 8C 22/2023 del 7 febbraio 2023</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kantonale Gericht bestätigte in Auseinandersetzung mit den Parteivorbringen und in Würdigung der Akten den Einspracheentscheid der Beschwerdegegnerin vom 17. Juni 2022, worin auf die am 4. Februar 2022 bzw. 13. Juni 2022 erhobene Einsprache gegen die Verfügung vom 19. Januar 2022 (rückwirkende Leistungseinstellung per 16. März 2021) nicht eingetreten wurde. Dabei legte es näher dar, weshalb die Beschwerdegegnerin dem rechtskundig vertretenen Beschwerdeführer trotz unzureichend begründeter erster Eingabe vom 4. Februar 2022 keine (mit Androhung des Nichteintretens im Säumnisfall verbundene) Nachfrist zur Behebung des Begründungsmangels nach Art. 10 Abs. 5 ATSV ansetzen musste.</w:t>
      </w:r>
    </w:p>
    <w:p>
      <w:r>
        <w:rPr>
          <w:b/>
        </w:rPr>
        <w:t>E. 3</w:t>
      </w:r>
    </w:p>
    <w:p>
      <w:r>
        <w:t>Der Beschwerdeführer geht auf die dazu getroffenen Sachverhaltsfeststellungen nicht ein. Ebenso wenig setzt er sich mit der vom kantonalen Gericht vertretenen Auffassung näher auseinander, wonach nicht nur im kantonalen Beschwerdeverfahren (vgl. dazu Art. 61 lit. b Satz 2 ATSG ), sondern auch im Einspracheverfahren nicht in jedem Fall eine Nachfrist zur Beschwerdeverbesserung zu gewähren ist. Lediglich Gegenteiliges zu fordern reicht nicht aus. Inwiefern das Vorgehen des kantonalen Gerichts gegen Bundesrecht verstossen oder einen anderen Beschwerdegrund (vgl. Art. 95 lit. a-e BGG ) setzen soll, ist damit nicht dargelegt.</w:t>
      </w:r>
    </w:p>
    <w:p>
      <w:r>
        <w:rPr>
          <w:b/>
        </w:rPr>
        <w:t>E. 4</w:t>
      </w:r>
    </w:p>
    <w:p>
      <w:r>
        <w:t>Demzufolge liegt offensichtlich keine hinreichend sachbezogen begründete Beschwerde vor, was zu einem Nichteintreten im vereinfachten Verfahren nach Art. 108 Abs. 1 lit. b BGG führt.</w:t>
      </w:r>
    </w:p>
    <w:p>
      <w:r>
        <w:rPr>
          <w:b/>
        </w:rPr>
        <w:t>E. 5</w:t>
      </w:r>
    </w:p>
    <w:p>
      <w:r>
        <w:t>Die Gerichtskosten sind ausgangsgemäss dem Beschwerdeführer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