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8C_22/2014 vom 3. April 2014</w:t>
      </w:r>
    </w:p>
    <w:p>
      <w:r>
        <w:t>Bundesgericht, 2014-04-03, DE</w:t>
      </w:r>
    </w:p>
    <w:p>
      <w:r>
        <w:rPr>
          <w:b/>
        </w:rPr>
        <w:t xml:space="preserve">Quelle: </w:t>
      </w:r>
      <w:r>
        <w:t>https://mcp.opencaselaw.ch/entscheid/bger_8C_22_2014</w:t>
      </w:r>
    </w:p>
    <w:p>
      <w:r>
        <w:t>FR: TF 8C_22/2014 du 3 avril 2014</w:t>
      </w:r>
    </w:p>
    <w:p>
      <w:r>
        <w:t>IT: TF 8C_22/2014 del 3 aprile 2014</w:t>
      </w:r>
    </w:p>
    <w:p>
      <w:pPr>
        <w:pStyle w:val="Heading2"/>
      </w:pPr>
      <w:r>
        <w:t>Erwägungen</w:t>
      </w:r>
    </w:p>
    <w:p>
      <w:r>
        <w:rPr>
          <w:b/>
        </w:rPr>
        <w:t>E. 1</w:t>
      </w:r>
    </w:p>
    <w:p>
      <w:r>
        <w:t>Das Bundesgericht prüft von Amtes wegen und mit freier Kognition, ob ein Rechtsmittel zulässig ist ( BGE 138 III 46 E. 1 Ingress). Ob der Antrag der Versicherten rechtsgenüglich ist (vgl. BGE 133 III 489 E. 3.1), kann offenbleiben, da die Beschwerde ohnehin abzuweisen ist.</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Nach Art. 42 Abs. 1 und 2 BGG gehört zu einer rechtsgenüglichen Beschwerde eine hinreichende Begründung, was voraussetzt, dass sich die beschwerdeführende Person mit der Argumentation im angefochtenen Entscheid auseinandersetzt. Diesem Erfordernis wird nicht Genüge getan, wenn lediglich die Ausführungen in der vor der Vorinstanz geführten Beschwerde ohne Bezugnahme auf den angefochtenen Entscheid wiederholt werden ( BGE 134 II 244 E. 2.1 S. 245 f. und E. 2.3 S. 246 f.). In der hier zu beurteilenden Beschwerdeschrift wird über weite Teile hinweg (S. 4 bis 14) lediglich die schon vor dem kantonalen Gericht vorgebrachte Argumentation wortwörtlich wiedergegeben; hierauf ist von vornherein nicht weiter einzugehen. Weiter bringt die Versicherte vor, in der vorinstanzlichen Beschwerde habe sie in genügender Weise dargestellt und nachvollziehbar aufgezeigt, dass die Voraussetzungen gemäss Art. 29 i.V.m. Art. 30 OR erfüllt seien; dieser Verweis auf Ausführungen im kantonalen Verfahren ist unzulässig ( BGE 134 II 244 ; SVR 2010 UV Nr. 9 S. 35 E. 6 [8C_286/2009]). Die Beschwerde wird nachfolgend nur insoweit geprüft, als die aufgeworfenen Aspekte mit einer ausreichenden Begründung versehen sind (vgl. Urteil 8C_811/2010 vom 14. März 2011 E. 1.2 und 3.1).</w:t>
      </w:r>
    </w:p>
    <w:p>
      <w:r>
        <w:rPr>
          <w:b/>
        </w:rPr>
        <w:t>E. 4</w:t>
      </w:r>
    </w:p>
    <w:p>
      <w:r>
        <w:t>Die Vorinstanz hat die Grundlagen über den Vergleich zutreffend dargelegt ( Art. 50 ATSG ; BGE 131 V 417 E. 3.1 S. 420; Kieser, ATSG-Kommentar, 2. Aufl. 2009, Art. 50 N. 14 mit weiteren Hinweisen).</w:t>
      </w:r>
    </w:p>
    <w:p>
      <w:r>
        <w:t>Weiter hat die Vorinstanz im Wesentlichen erwogen, die Helsana habe den Rentenanspruch gestützt auf die durchgeführte Observation und den Bericht des Dr. med. C.________ vom 30. Juni 2011 verneint. Die Vornahme der Sachverhaltsabklärung sei nicht detailliert geregelt. Indem die Versicherte in den Vergleich vom 8. Februar 2012 eingewilligt habe (vgl. Sachverhalt lit. A.c hievor), habe sie auf weitere Abklärungen verzichtet. Damit könne in der Unterlassung einer weiteren Sachverhaltsabklärung auch im Lichte von Art. 43 Abs. 1 ATSG keine Rechtsverletzung erblickt werden. Es lägen keine Verfahrens-, Willens- oder Rechtsmängel vor, weshalb der Vergleich rechtens sei. Die Einwendungen der Beschwerdeführerin vermögen an dieser Beurteilung nichts zu ändern.</w:t>
      </w:r>
    </w:p>
    <w:p>
      <w:r>
        <w:rPr>
          <w:b/>
        </w:rPr>
        <w:t>E. 5</w:t>
      </w:r>
    </w:p>
    <w:p>
      <w:r>
        <w:t>Die Versicherte bringt vor, das Ergebnis der durchgeführten Observation erlaube keine Rückschlüsse auf ihre vollständige Arbeitsfähigkeit. Damit habe die Helsana eine klare Rechtsverletzung im Sinne des Untersuchungsgrundsatzes ( Art. 43 ATSG ) begangen. Dies gelte umsomehr, als die Versicherte bei der Vergleichsverhandlung anwaltlich nicht vertreten gewesen sei. Zudem seien Art. 17 und 53 ATSG verletzt, da ein Revisionsverfahren mittels Vergleichs erledigt worden sei, ohne dass eine Verbesserung des Gesundheitszustandes bewiesen worden sei.</w:t>
      </w:r>
    </w:p>
    <w:p>
      <w:r>
        <w:t>Das Ergebnis einer zulässigen Observation kann zusammen mit einer ärztlichen Aktenbeurteilung grundsätzlich geeignet sein, eine genügende Basis für Sachverhaltsfeststellungen betreffend den Gesundheitszustand und die Arbeitsfähigkeit zu bilden ( BGE 137 I 327 E. 7.1 S. 337). Die Helsana unterbreitete die Observationsunterlagen Dr. med. C.________ zur Beurteilung, welche er im Bericht vom 30. Juni 2011 erstattete. Gestützt hierauf kam sie zum Schluss, dass aufgrund der festgestellten Arbeitsfähigkeit der Versicherten kein Rentenanspruch mehr bestanden habe. In diesem Lichte ist eine Verletzung des Untersuchungsgrundsatzes oder von Art. 17 bzw. Art. 53 ATSG nicht ersichtlich, zumal die Versicherte weder die Observation noch die Beurteilung des Dr. med. C.________ substanziiert als nicht rechtsgenüglich beanstandet (zur Rechtsfrage des Beweiswerts von Arztberichten vgl. BGE 134 V 231 E. 5.1 S. 232).</w:t>
      </w:r>
    </w:p>
    <w:p>
      <w:r>
        <w:rPr>
          <w:b/>
        </w:rPr>
        <w:t>E. 6.1</w:t>
      </w:r>
    </w:p>
    <w:p>
      <w:r>
        <w:t>Weiter bringt die Versicherte vor, der Unfallversicherer dürfe nur dann mit einer Strafklage im Falle einer Ablehnung des Vergleichs drohen, wenn er den Sachverhalt klar, widerspruchsfrei und umfassend abgeklärt habe, was hier nicht der Fall sei. Durch die Ankündigung der Einreichung einer Strafklage im Falle der Ablehnung des Vergleichs habe die Helsana eine strafrechtlich relevante Nötigung/Drohung begangen. Durch diese Drohung habe sie sich einen übermässigen Vorteil in Form der Rentenaufhebung für die Zukunft verschafft. Die Drohung manifestiere sich darin, dass sie die bisherigen Rentenleistungen zurückfordern und eine Betrugsanzeige machen würde. Die Voraussetzungen von Art. 29 f. OR seien gegeben.</w:t>
      </w:r>
    </w:p>
    <w:p>
      <w:r>
        <w:rPr>
          <w:b/>
        </w:rPr>
        <w:t>E. 6.2</w:t>
      </w:r>
    </w:p>
    <w:p>
      <w:r>
        <w:t>Die Art. 23 ff. OR ("Mängel des Vertragsabschlusses") sind im öffentlichen Recht nicht direkt anwendbar; als Ausdruck allgemeiner Rechtsgrundsätze sind sie jedoch insoweit zu beachten, als sich die Regelung als sachgerecht erweist. Das ist hinsichtlich der Bestimmungen über die Drohung und die Geltendmachung der Willensmängel ( Art. 29-31 OR ) der Fall ( BGE 105 Ia 207 E. 2c S. 211; Urteil 9C_90/2013 vom 2. Mai 2013 E. 4.1.1).</w:t>
      </w:r>
    </w:p>
    <w:p>
      <w:r>
        <w:rPr>
          <w:b/>
        </w:rPr>
        <w:t>E. 6.3</w:t>
      </w:r>
    </w:p>
    <w:p>
      <w:r>
        <w:t>Im Vergleich vom 8. Februar 2012 verpflichtete sich die Helsana, nach dessen Erfüllung und vorbehältlich eines Streitfalls auf die Einreichung einer Strafanzeige gegen die Versicherte zu verzichten (vgl. Sachverhalt lit. A.c hievor).</w:t>
      </w:r>
    </w:p>
    <w:p>
      <w:r>
        <w:t>Die Androhung strafrechtlichen Vorgehens für den Fall des Scheiterns des Vergleichs war grundsätzlich zulässig, da eine Rechtsverletzung bei der Sachverhaltsabklärung entgegen der Auffassung der Versicherten nicht vorlag und sie einräumte, gegenüber den Ärzten und der Helsana Falschangaben über ihren Gesundheitszustand gemacht zu haben. Der innere Zusammenhang zwischen der Androhung der Strafklage und dem angestrebten Zweck ist zu bejahen. Die durch die behauptete Drohung veranlasste Vergleichseinwilligung der Versicherten wäre somit nur dann als unverbindlich anzusehen, wenn sich die Helsana damit übermässige Vorteile hätten einräumen lassen ( BGE 125 III 353 E. 2 S. 355; Urteil 4C.4/2007 vom 15. November 2007 E. 3). Dies ist zu verneinen. Insbesondere in der Rentenaufhebung für die Zukunft liegt entgegen der Versicherten kein solcher Vorteil, da die Abklärungen der Helsana ergeben haben, dass kein Rentenanspruch mehr bestand (E. 5 hievor). Hievon abgesehen wurde die Versicherte in der Verfügung vom 12. Januar 2012 - die Ausgangspunkt des Vergleichs vom 8. Februar 2012 war - zu Recht darauf hingewiesen, dass der Leistungsanspruch bei einem Rückfall oder Spätfolgen selbstverständlich im Rahmen von Art. 11 UVV gewährleistet bleibe.</w:t>
      </w:r>
    </w:p>
    <w:p>
      <w:r>
        <w:t>Unbehelflich ist schliesslich der nicht näher begründete Einwand der Versicherten, bei der Vergleichsfindung sei sie nicht anwaltlich vertreten gewesen.</w:t>
      </w:r>
    </w:p>
    <w:p>
      <w:r>
        <w:rPr>
          <w:b/>
        </w:rPr>
        <w:t>E. 7</w:t>
      </w:r>
    </w:p>
    <w:p>
      <w:r>
        <w:t>Die unterliegende Versicherte trägt die Verfahrenskosten ( Art. 66 Abs. 1, Art. 68 Abs. 2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