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22/2009 vom 22. Dezember 2009</w:t>
      </w:r>
    </w:p>
    <w:p>
      <w:r>
        <w:t>Bundesgericht, 2009-12-22, FR</w:t>
      </w:r>
    </w:p>
    <w:p>
      <w:r>
        <w:rPr>
          <w:b/>
        </w:rPr>
        <w:t xml:space="preserve">Quelle: </w:t>
      </w:r>
      <w:r>
        <w:t>https://mcp.opencaselaw.ch/entscheid/bger_8C_22_2009</w:t>
      </w:r>
    </w:p>
    <w:p>
      <w:r>
        <w:t>FR: TF 8C 22/2009 du 22 décembre 2009</w:t>
      </w:r>
    </w:p>
    <w:p>
      <w:r>
        <w:t>IT: TF 8C 22/2009 del 22 dicembre 2009</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le point de savoir si l'office intimé était fondé, par sa décision du 27 février 2008, à supprimer le droit de la recourante à sa rente entière d'invalidité.</w:t>
      </w:r>
    </w:p>
    <w:p>
      <w:r>
        <w:rPr>
          <w:b/>
        </w:rPr>
        <w:t>E. 3.1</w:t>
      </w:r>
    </w:p>
    <w:p>
      <w:r>
        <w:t>Se fondant sur les conclusions de la doctoresse V.________ (rapport d'expertise du 14 novembre 2006), la juridiction cantonale a constaté qu'ensuite de l'amélioration de son état de santé, l'assurée était en mesure, dès la fin de l'année 2005, d'exercer à nouveau sa profession d'employée de commerce à raison de 70 %, pour autant qu'elle ne travaillât pas dans l'entreprise de son mari. Elle a admis un taux d'invalidité de 29 % en se référant à l'évaluation de l'invalidité effectuée par l'OAI. Ce taux étant insuffisant pour ouvrir droit à une rente ( art. 28 al. 2 LAI ), la juridiction cantonale a considéré que cette modification justifiait la suppression du droit à cette prestation à partir du premier jour du deuxième mois qui suit la notification de la décision ( art. 17 al. 1 LPGA ; art. 88a al. 1 et 88bis al. 2 let. a RAI). La recourante ne remet pas en cause les conclusions des premiers juges au sujet de l'amélioration de son état de santé après la fin de l'année 2005. En revanche, elle reproche à l'office intimé et à la juridiction cantonale d'avoir omis de tenir compte de son âge. Selon l'intéressée, cette circonstance, ajoutée au fait qu'elle a cessé son activité d'employée de commerce en 1973 pour se consacrer à l'éducation de ses filles et travailler dans l'entreprise de son mari en qualité de secrétaire, fait que l'on ne peut plus exiger qu'elle reprenne son ancienne activité au service d'un autre employeur que son mari.</w:t>
      </w:r>
    </w:p>
    <w:p>
      <w:r>
        <w:rPr>
          <w:b/>
        </w:rPr>
        <w:t>E. 3.2</w:t>
      </w:r>
    </w:p>
    <w:p>
      <w:r>
        <w:t>Lorsqu'il s'agit d'examiner dans quelle mesure un assuré peut encore exploiter économiquement sa capacité de gain résiduelle sur le marché du travail entrant en considération pour lui ( art. 16 LPGA ),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 art. 16 LPGA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 I 819/04 du 27 mai 2005 consid. 2.2 et les références).</w:t>
      </w:r>
    </w:p>
    <w:p>
      <w:r>
        <w:rPr>
          <w:b/>
        </w:rPr>
        <w:t>E. 3.3</w:t>
      </w:r>
    </w:p>
    <w:p>
      <w:r>
        <w:t>Pour fixer le taux d'invalidité à 29 %, l'OAI a pris en compte, au titre du revenu d'invalide, le salaire auquel peuvent prétendre des femmes possédant, dans le secteur privé, des «connaissances professionnelles spécialisées», soit le niveau de qualification 3 selon l'Enquête suisse sur la structure des salaires (ESS; TA1). Ce faisant, l'OAI a considéré que l'assurée était en mesure de reprendre son ancienne activité, ce que l'intéressée conteste. La juridiction cantonale a confirmé ce taux d'invalidité en se référant à l'appréciation de l'OAI.</w:t>
      </w:r>
    </w:p>
    <w:p>
      <w:r>
        <w:rPr>
          <w:b/>
        </w:rPr>
        <w:t>E. 3.4</w:t>
      </w:r>
    </w:p>
    <w:p>
      <w:r>
        <w:t>Selon la jurisprudence, le point de savoir si les tables de salaires statistiques sont applicables et, le cas échéant, quelle table est déterminante est une question de droit ( ATF 132 V 393 consid. 3.3 p. 399; SVR 2009 IV n° 34 p. 95, 9C_24/2009 consid. 1.2) que le Tribunal fédéral examine d'office ( art. 106 al. 1 LTF ). En l'occurrence, l'application du niveau de qualification 3 apparaît fortement discutable étant donné l'âge de la recourante (née en 1946) et compte tenu du fait qu'elle a cessé son activité d'employée de commerce en 1973 et qu'elle a ensuite travaillé dans l'entreprise de son mari. En effet, au regard des circonstances comme le manque d'expérience professionnelle, la nécessité d'une mise au courant après une longue interruption de l'activité ou le fait que l'assurée n'a pas ou plus travaillé au service et sous les ordres d'un employeur depuis longtemps, il est douteux que l'intéressée dispose encore, dans son ancienne activité, des connaissances professionnelles spécialisées justifiant l'application de la table correspondant au niveau de qualification 3. En l'absence de constatations de fait des premiers juges sur les possibilités concrètes de travail de la recourante, le Tribunal fédéral n'est pas en mesure, à ce stade, de trancher le litige. Il convient dès lors de renvoyer la cause à l'autorité précédente pour qu'elle établisse les faits pertinents et statue à nouveau sur le droit éventuel de la recourante au maintien de sa rente entière d'invalidité. Le recours se révèle ainsi bien fondé.</w:t>
      </w:r>
    </w:p>
    <w:p>
      <w:r>
        <w:rPr>
          <w:b/>
        </w:rPr>
        <w:t>E. 4</w:t>
      </w:r>
    </w:p>
    <w:p>
      <w:r>
        <w:t>L'intimé, qui succombe, supportera les frais judiciaires ( art. 66 al. 1 LTF ) et versera en outre une indemnité de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