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8C_22/2008 vom 5. März 2008</w:t>
      </w:r>
    </w:p>
    <w:p>
      <w:r>
        <w:t>Bundesgericht, 2008-03-05, DE</w:t>
      </w:r>
    </w:p>
    <w:p>
      <w:r>
        <w:rPr>
          <w:b/>
        </w:rPr>
        <w:t xml:space="preserve">Quelle: </w:t>
      </w:r>
      <w:r>
        <w:t>https://mcp.opencaselaw.ch/entscheid/bger_8C_22_2008</w:t>
      </w:r>
    </w:p>
    <w:p>
      <w:r>
        <w:t>FR: TF 8C_22/2008 du 5 mars 2008</w:t>
      </w:r>
    </w:p>
    <w:p>
      <w:r>
        <w:t>IT: TF 8C_22/2008 del 5 marzo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S. 4338).</w:t>
      </w:r>
    </w:p>
    <w:p>
      <w:r>
        <w:rPr>
          <w:b/>
        </w:rPr>
        <w:t>E. 2.1</w:t>
      </w:r>
    </w:p>
    <w:p>
      <w:r>
        <w:t>Die Vorinstanz hat die Bestimmungen über die - im Rahmen des allgemeinen Gebots der Schadenminderung ( BGE 130 V 97 E. 3.2 S. 99) - bestehende Pflicht der versicherten Person zur Vermeidung oder Verkürzung der Arbeitslosigkeit ( Art. 17 Abs. 1 Satz 1 AVIG ), die Einstellung in der Anspruchsberechtigung wegen selbstverschuldeter Arbeitslosigkeit ( Art. 44 Abs. 1 lit. a AVIV ; BGE 124 V 234 E. 3b S. 236; ARV 1998 Nr. 9 41 E. 2b S. 44; 1993/94 Nr. 26 181 E. 2a S. 183; Urteil C 14/03 vom 27. August 2003 E. 1.2) sowie die vom Verschuldensgrad abhängige Dauer der Sanktion ( Art. 30 Abs. 3 Satz 3 AVIG in Verbindung mit Art. 45 Abs. 2 AVIV ) zutreffend dargelegt. Darauf wird verwiesen.</w:t>
      </w:r>
    </w:p>
    <w:p>
      <w:r>
        <w:rPr>
          <w:b/>
        </w:rPr>
        <w:t>E. 2.2</w:t>
      </w:r>
    </w:p>
    <w:p>
      <w:r>
        <w:t>In Anwendung der bundesgerichtlichen Kognition (E. 1), ist aufgrund der Vorbringen in der Beschwerde zu prüfen, ob der angefochtene Gerichtsentscheid in der Anwendung der massgeblichen materiell- und beweisrechtlichen Grundlagen Bundesrecht verletzt ( Art. 95 BGG ), einschliesslich einen allfälligen rechtsfehlerhaften Tatsachenfeststellung ( Art. 97 BGG ). Hingegen hat eine freie Überprüfung des vorinstanzlichen Entscheides in tatsächlicher Hinsicht ebenso zu unterbleiben wie eine Prüfung der Ermessensbetätigung nach den Grundsätzen zur Angemessenheitskontrolle ( BGE 126 V 75 E. 6 S. 81 mit Hinweisen). Auch besteht Bindung an die Parteianträge (BGE 8C_31/2007 vom 25. September 2007, E. 2.2).</w:t>
      </w:r>
    </w:p>
    <w:p>
      <w:r>
        <w:rPr>
          <w:b/>
        </w:rPr>
        <w:t>E. 3.1</w:t>
      </w:r>
    </w:p>
    <w:p>
      <w:r>
        <w:t>Anfechtungs- und Streitgegenstand bildet die Einstellung in der Anspruchsberechtigung wegen selbstverschuldeter Arbeitslosigkeit. Als Rechtsfragen gelten die gesetzlichen und rechtsprechungsgemässen Regeln über die Einstellung in der Anspruchsberechtigung ( Art. 30 AVIG ). Zu prüfen ist hierbei insbesondere die falsche Rechtsanwendung (Seiler/von Werdt/Güngerich, Bundesgerichtsgesetz [BGG], Bern 2007, Art. 95 Rz. 9). Diese basiert auf einer grundsätzlich verbindlichen Sachverhaltsfeststellung. Schliesslich ist die Höhe der Einstellungsdauer eine typische Ermessensfrage, deren Beantwortung letztinstanzlicher Korrektur nur mehr dort zugänglich ist, wo das kantonale Gericht das Ermessen rechtsfehlerhaft ausgeübt hat, also Ermessensüberschreitung, -missbrauch oder -unterschreitung vorliegt (vgl. BGE 8C_31/2007, E. 3.1).</w:t>
      </w:r>
    </w:p>
    <w:p>
      <w:r>
        <w:rPr>
          <w:b/>
        </w:rPr>
        <w:t>E. 3.2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S. 152 mit Hinweisen).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116 V 307 E. 2 S. 310; BGE 8C_179/2007 vom 25. September 2007, E. 2.2).</w:t>
      </w:r>
    </w:p>
    <w:p>
      <w:r>
        <w:rPr>
          <w:b/>
        </w:rPr>
        <w:t>E. 4.1</w:t>
      </w:r>
    </w:p>
    <w:p>
      <w:r>
        <w:t>Die Vorinstanz ist insbesondere aufgrund der Zeugenaussage des ehemaligen Vorgesetzten der Beschwerdeführerin, R.________, welche als konstant und überzeugend qualifiziert wird, zur Erkenntnis gelangt, die Versicherte sei neben einer einmaligen schriftlichen Verwarnung wiederholt mündlich hinsichtlich ihres Verhaltens verwarnt worden. Der Zeuge habe die gegen die Beschwerdeführerin erhobenen Vorwürfe bestätigt und die im Arbeitszeugnis gemachten Ausführungen relativiert. Dieser sei es nicht gelungen, die gegen sie erhobenen Vorwürfe (häufige Rauchpausen, privates Surfen im Internet etc.) betreffend ihrer Verfehlungen am Arbeitsplatz zu entkräften. Das kantonale Gericht hat gestützt hierauf zutreffend erkannt, dass die Versicherte damit die Kündigung des Arbeitsverhältnisses und ihre Arbeitslosigkeit durch ihr Verhalten selbst verschuldet hat, weshalb sie zu Recht gestützt auf Art. 30 Abs. 1 lit. a AVIG in der Anspruchsberechtigung eingestellt wurde.</w:t>
      </w:r>
    </w:p>
    <w:p>
      <w:r>
        <w:t>Die im unteren Bereich des schweren Verschuldens ( Art. 45 Abs. 2 lit. c AVIV ) auf 35 Tage festgesetzte Einstellung in der Anspruchsberechtigung ist nicht zu beanstanden, da nicht gesagt werden kann, die Vorinstanz habe ihr Ermessen missbraucht, unter- oder überschritten. Es liegt ein schweres Verschulden vor, da die Versicherte aufgrund ihres Verhaltens mit einer Kündigung rechnen musste (E. 4.2).</w:t>
      </w:r>
    </w:p>
    <w:p>
      <w:r>
        <w:rPr>
          <w:b/>
        </w:rPr>
        <w:t>E. 4.2</w:t>
      </w:r>
    </w:p>
    <w:p>
      <w:r>
        <w:t>Sämtliche Einwendungen der Beschwerdeführerin vermögen an diesem Ergebnis nichts zu ändern.</w:t>
      </w:r>
    </w:p>
    <w:p>
      <w:r>
        <w:t>Zu Recht bringt sie vor, eine Einstellung in der Anspruchsberechtigung dürfe nur verfügt werden, wenn das der versicherten Person zur Last gelegte Verhalten in beweismässiger Hinsicht klar feststehe. Das kantonale Gericht hat den Vorgesetzten als Zeugen unter Wahrheitspflicht und Strafandrohung bei falscher Zeugenaussage einvernommen und der Beschwerdeführerin Gelegenheit geboten, selber Fragen zu stellen. Dadurch, dass der Vorgesetzte vor Gericht als Zeuge befragt wurde, hat seine Darstellung nicht mehr bloss das Gewicht einer "Behauptung des Arbeitgebers". Die Vorinstanz durfte in der Folge die dabei gemachten Aussagen als klar beweiskräftig verwerten und ihrer Sachverhaltsfeststellung zu Grunde legen. Dies auch angesichts des Umstandes, dass die Beschwerdeführerin weder der Verwaltung, noch der Vorinstanz eigene Zeugen oder weitere Beweise für ihre eigene Sachverhaltsdarstellung anbot. Nachdem aufgrund der Zeugenaussage klar erwiesen ist, dass die Beschwerdeführerin hinsichtlich ihres Verhaltens mehrmals mündlich verwarnt worden war, ist ein weiteres Widerhandeln als vorsätzlich zu qualifizieren. Sie musste wissen, dass ihr bei weiteren Disputen die Kündigung drohte, was sie offenbar in Kauf genommen hat, womit die Arbeitslosigkeit selbst verschuldet ist.</w:t>
      </w:r>
    </w:p>
    <w:p>
      <w:r>
        <w:rPr>
          <w:b/>
        </w:rPr>
        <w:t>E. 5</w:t>
      </w:r>
    </w:p>
    <w:p>
      <w:r>
        <w:t>Da die Beschwerde offensichtlich unbegründet ist, wird sie im Verfahren Art. 109 Abs. 2 lit. a BGG ohne Schriftenwechsel, mit summarischer Begründung und unter Verweis auf den angefochtenen Entscheid erledigt. Das Verfahren ist kostenpflichtig ( Art. 62 BGG ). Die Gerichtskosten sind der Beschwerdeführerin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