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229/2016 vom 9. November 2016</w:t>
      </w:r>
    </w:p>
    <w:p>
      <w:r>
        <w:t>Bundesgericht, 2016-11-09, FR</w:t>
      </w:r>
    </w:p>
    <w:p>
      <w:r>
        <w:rPr>
          <w:b/>
        </w:rPr>
        <w:t xml:space="preserve">Quelle: </w:t>
      </w:r>
      <w:r>
        <w:t>https://mcp.opencaselaw.ch/entscheid/bger_8C_229_2016</w:t>
      </w:r>
    </w:p>
    <w:p>
      <w:r>
        <w:t>FR: TF 8C 229/2016 du 9 novembre 2016</w:t>
      </w:r>
    </w:p>
    <w:p>
      <w:r>
        <w:t>IT: TF 8C 229/2016 del 9 novembre 2016</w:t>
      </w:r>
    </w:p>
    <w:p>
      <w:pPr>
        <w:pStyle w:val="Heading2"/>
      </w:pPr>
      <w:r>
        <w:t>Regeste</w:t>
      </w:r>
    </w:p>
    <w:p>
      <w:r>
        <w:t>Assurance-accidents (causalité naturelle, affection oculaire)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la prise en charge du traitement médical dispensé par le docteur D.________ à partir du mois de mars 2013. Lorsque, comme en l'espèce, la procédure porte sur des prestations en nature de l'assurance-accidents, le Tribunal fédéral est lié par les constatations de fait de l'instance précédente et ne peut s'en écarter qu'en cas de constatation manifestement inexacte ou effectuée en violation du droit au sens de l' art. 95 LTF (cf. art. 97 al. 1, art. 105 al. 1 et art. 105 al. 2 LTF ).</w:t>
      </w:r>
    </w:p>
    <w:p>
      <w:r>
        <w:rPr>
          <w:b/>
        </w:rPr>
        <w:t>E. 3</w:t>
      </w:r>
    </w:p>
    <w:p>
      <w:r>
        <w:t>Le jugement entrepris a correctement exposé les dispositions légales et les principes jurisprudentiels applicables au cas d'espèce. Il suffit par conséquent d'y renvoyer.</w:t>
      </w:r>
    </w:p>
    <w:p>
      <w:r>
        <w:rPr>
          <w:b/>
        </w:rPr>
        <w:t>E. 4.1</w:t>
      </w:r>
    </w:p>
    <w:p>
      <w:r>
        <w:t>Par un premier grief, le recourant invoque une violation de son droit d'être entendu en tant que la juridiction cantonale n'a pas donné suite à sa demande de mise en oeuvre d'une expertise auprès d'un médecin spécialiste "neutre". Tel qu'invoqué, le grief de violation du droit d'être entendu n'a pas de portée propre par rapport à celui tiré de l'arbitraire dans l'appréciation des preuves (cf. arrêt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En l'occurrence, les premiers juges ont estimé que les renseignements médicaux au dossier étaient suffisants et probants pour conclure qu'il n'y avait pas de lien de causalité entre l'accident et les troubles de l'oeil gauche réannoncés à l'intimée et que la mise en oeuvre d'une expertise médicale n'apparaissait dès lors pas nécessaire. Le recourant ne remet nullement en cause l'appréciation des preuves à laquelle se sont livrés les premiers juges. En l'absence de toute critique de l'argumentation des premiers juges sur ce point, le recours ne répond pas aux exigences de motivation posées par l' art. 42 al. 2 LTF . Le grief de violation du droit d'être entendu est partant irrecevable.</w:t>
      </w:r>
    </w:p>
    <w:p>
      <w:r>
        <w:rPr>
          <w:b/>
        </w:rPr>
        <w:t>E. 4.2</w:t>
      </w:r>
    </w:p>
    <w:p>
      <w:r>
        <w:t>En deuxième lieu, le recourant semble alléguer une violation du fardeau de la preuve. Il soutient en substance qu'il incombait à la CNA d'établir que les troubles annoncés au titre de rechute n'étaient pas en relation de causalité avec l'accident du 25 juin 2012. Ce point de vue est erroné. En effet,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arrêt de l'ancien Tribunal fédéral des assurances U 192/06 du 10 avril 2007, consid. 3.3).</w:t>
      </w:r>
    </w:p>
    <w:p>
      <w:r>
        <w:rPr>
          <w:b/>
        </w:rPr>
        <w:t>E. 5</w:t>
      </w:r>
    </w:p>
    <w:p>
      <w:r>
        <w:t>Il résulte de ce qui précède que le recours se révèle manifestement infondé (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