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8C_226/2022 vom 27. Oktober 2022</w:t>
      </w:r>
    </w:p>
    <w:p>
      <w:r>
        <w:t>Bundesgericht, 2022-10-27, DE</w:t>
      </w:r>
    </w:p>
    <w:p>
      <w:r>
        <w:rPr>
          <w:b/>
        </w:rPr>
        <w:t xml:space="preserve">Quelle: </w:t>
      </w:r>
      <w:r>
        <w:t>https://mcp.opencaselaw.ch/entscheid/bger_8C_226_2022</w:t>
      </w:r>
    </w:p>
    <w:p>
      <w:r>
        <w:t>FR: TF 8C_226/2022 du 27 octobre 2022</w:t>
      </w:r>
    </w:p>
    <w:p>
      <w:r>
        <w:t>IT: TF 8C_226/2022 del 27 ottobre 2022</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BGE 144 V 50 E. 4.2 mit Hinweisen; Urteil 8C_144/2022 vom 1. August 2022 E. 1.2).</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1.4</w:t>
      </w:r>
    </w:p>
    <w:p>
      <w:r>
        <w:t>Der unaufgefordert mit Beschwerdeergänzung vom 27. Juni 2022 eingereichte Verlaufsbericht der seit 2015 behandelnden Psychiaterin Dr. med. E.________ datiert vom 21. Mai 2022 und somit nach dem angefochtenen Entscheid vom 22. Februar 2022. Er bleibt folglich als echtes Novum unbeachtlich (vgl. Art. 99 Abs. 1 BGG ; BGE 143 V 19 E. 1.2; Urteil 8C_397/2022 vom 5. September 2022 E. 5.4 mit Hinweis).</w:t>
      </w:r>
    </w:p>
    <w:p>
      <w:r>
        <w:rPr>
          <w:b/>
        </w:rPr>
        <w:t>E. 2</w:t>
      </w:r>
    </w:p>
    <w:p>
      <w:r>
        <w:t>Strittig ist, ob die Vorinstanz Bundesrecht verletzte, indem sie die von der IV-Stelle am 6. Dezember 2019 verfügte Verneinung eines Rentenanspruchs bestätigte. Dabei dreht sich der Streit einzig um die Frage, ob das Leistungsvermögen der Beschwerdeführerin aus psychischen Gründen - abweichend von der Sachverhaltsfeststellung gemäss angefochtenem Entscheid - weitergehend eingeschränkt ist.</w:t>
      </w:r>
    </w:p>
    <w:p>
      <w:r>
        <w:rPr>
          <w:b/>
        </w:rPr>
        <w:t>E. 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Das kantonale Gericht gelangte nach einlässlicher Würdigung der umfangreichen Aktenlage zum Schluss, dass das Verwaltungsverfahren zur rentenausschliessenden Eingliederung der Beschwerdeführerin mit deren Umschulung zur Ergotherapeutin gemäss unangefochten in Rechtskraft erwachsener Verfügung vom 9. Juli 2007 erfolgreich abgeschlossen wurde. Sie habe hernach - entgegen ihren Angaben - aus invaliditätsfremden Gründen kein Vollzeitpensum, sondern nur ein 70 %-Pensum als Ergotherapeutin aufgenommen. Diese seit 1. September 2007 ausgeübte Teilerwerbstätigkeit sei als massgebende Validenkarriere zu betrachten, weshalb das Valideneinkommen dem statistischen Zentralwert der Ergotherapeutenlöhne im Zeitpunkt des frühestmöglichen Rentenbeginns am 1. Januar 2016 entspreche. Insbesondere mit Blick auf das polydisziplinäre Gutachten des Medizinischen Zentrums F.________ vom 4. Juli 2017, die auf Testergebnissen basierende Expertise des Fachpsychologen für Neuropsychologie lic. phil. G.________ vom 6. Januar 2019, das Gutachten der Psychiaterin und Psychotherapeutin med. pract. H.________ vom 30. April 2019 und die Berichte des Psychiaters I.________ vom Regionalen Ärztlichen Dienst (RAD) der Invalidenversicherung hielt die Vorinstanz fest, die Beschwerdeführerin sei als Ergotherapeutin zu 70 % und in einer leidensangepassten Tätigkeit zu 100 % arbeitsfähig. Gestützt auf einen Prozentvergleich sowie unter Berücksichtigung eines leidensbedingten Abzuges von 5 % ermittelte das kantonale Gericht einen Invaliditätsgrad von (gerundet) 34 %, weshalb es im Ergebnis die von der IV-Stelle am 6. Dezember 2019 verfügte Verneinung eines Rentenanspruchs bestätigte.</w:t>
      </w:r>
    </w:p>
    <w:p>
      <w:r>
        <w:rPr>
          <w:b/>
        </w:rPr>
        <w:t>E. 4.2.1</w:t>
      </w:r>
    </w:p>
    <w:p>
      <w:r>
        <w:t>Soweit die Beschwerdeführerin eine Verletzung der Begründungspflicht ( Art. 29 Abs. 2 BV ) rügt, sieht sie mit Blick auf den angefochtenen Entscheid keinen Ergänzungsbedarf rechtlicher Art (vgl. Art. 112 Abs. 1 lit. b BGG ; vgl. auch BGE 141 IV 244 E. 1.2.1 und Urteil 6B_280/2021 vom E. 3.3.1 f., je mit Hinweisen). Sie beanstandet einzig, das kantonale Gericht habe sich nicht mit dem Bericht der Dr. med. E.________ vom 30. September 2019 auseinandergesetzt. Davon kann entgegen der Beschwerdeführerin keine Rede sein. Die Vorinstanz begründete überzeugend, weshalb sie nicht den Einschätzungen der behandelnden Psychiaterin Dr. med. E.________, sondern der ausführlichen Stellungnahme des RAD-Psychiaters I.________ vom 27. (richtig: 28.) November 2019 folgte.</w:t>
      </w:r>
    </w:p>
    <w:p>
      <w:r>
        <w:rPr>
          <w:b/>
        </w:rPr>
        <w:t>E. 4.2.2</w:t>
      </w:r>
    </w:p>
    <w:p>
      <w:r>
        <w:t>Was die konkrete Beweiswürdigung und die Feststellung des rechtserheblichen Sachverhalts anbetrifft, legt die Beschwerdeführerin nicht dar und ist nicht ersichtlich, inwiefern der angefochtene Entscheid das Willkürverbot verletzt (vgl. E. 1.2 f.). Bei Sachverhaltsrügen genügt es nach dem qualifizierten Rügeprinzip ( Art. 106 Abs. 2 BGG ) nicht, einen von den tatsächlichen Feststellungen der Vorinstanz abweichenden Sachverhalt zu behaupten oder die eigene Beweiswürdigung zu erläutern ( BGE 137 II 353 E. 5.1; Urteil 8C_770/2021 vom 6. September 2022 E. 2.2). Wie der RAD-Psychiater in seiner Beurteilung vom 28. November 2019 ausführte, stellte Dr. med. E.________ die von der psychiatrischen Gutachterin med. pract. H.________ erhobenen Befunde nicht in Frage, sondern gelangte in ihrem Schreiben vom 30. September 2019 lediglich zu einer anderen Beurteilung desselben medizinischen Sachverhalts aus dem Blickwinkel einer psychoanalytisch-psychodynamisch orientierten Therapeutin. Bei der Beweiswürdigung war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 8C_736/2021 vom 22. März 2022 E. 5.2 mit Hinweisen). Indem die Beschwerdeführerin den vorinstanzlichen Feststellungen unter Berufung auf die Ausführungen der Dr. med. E.________ ihre eigene Sicht der Dinge gegenüberstellt, zeigt sie nicht in einer dem strengen Rügeprinzip genügenden Weise auf, inwiefern der angefochtene Entscheid das Willkürverbot verletzen soll. Im Übrigen beschränken sich die gegen die vorinstanzliche Sachverhaltsfeststellung erhobenen Einwände im Wesentlichen auf appellatorische Kritik am angefochtenen Entscheid, worauf nicht weiter einzugehen ist (vgl. E. 1.2 hiervor).</w:t>
      </w:r>
    </w:p>
    <w:p>
      <w:r>
        <w:rPr>
          <w:b/>
        </w:rPr>
        <w:t>E. 4.2.3</w:t>
      </w:r>
    </w:p>
    <w:p>
      <w:r>
        <w:t>Nach dem Gesagten ist in tatsächlicher Hinsicht von den Feststellungen des kantonalen Gerichts zur Arbeitsfähigkeit auszugehen. Da die Beschwerdeführerin gegen die darauf beruhende Ermittlung eines rentenausschliessenden Invaliditätsgrades von (gerundet) 34 % keine Einwände erhebt, hat es beim angefochtenen Entscheid sein Bewenden.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