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8C_225/2022 vom 14. April 2022</w:t>
      </w:r>
    </w:p>
    <w:p>
      <w:r>
        <w:t>Bundesgericht, 2022-04-14, DE</w:t>
      </w:r>
    </w:p>
    <w:p>
      <w:r>
        <w:rPr>
          <w:b/>
        </w:rPr>
        <w:t xml:space="preserve">Quelle: </w:t>
      </w:r>
      <w:r>
        <w:t>https://mcp.opencaselaw.ch/entscheid/bger_8C_225_2022</w:t>
      </w:r>
    </w:p>
    <w:p>
      <w:r>
        <w:t>FR: TF 8C_225/2022 du 14 avril 2022</w:t>
      </w:r>
    </w:p>
    <w:p>
      <w:r>
        <w:t>IT: TF 8C_225/2022 del 14 aprile 2022</w:t>
      </w:r>
    </w:p>
    <w:p>
      <w:pPr>
        <w:pStyle w:val="Heading2"/>
      </w:pPr>
      <w:r>
        <w:t>Volltext</w:t>
      </w:r>
    </w:p>
    <w:p>
      <w:r>
        <w:t>Bundesgericht</w:t>
      </w:r>
    </w:p>
    <w:p>
      <w:r>
        <w:t>Tribunal fédéral</w:t>
      </w:r>
    </w:p>
    <w:p>
      <w:r>
        <w:t>Tribunale federale</w:t>
      </w:r>
    </w:p>
    <w:p>
      <w:r>
        <w:t>Tribunal federal</w:t>
      </w:r>
    </w:p>
    <w:p>
      <w:r>
        <w:t>8C_225/2022</w:t>
      </w:r>
    </w:p>
    <w:p>
      <w:r>
        <w:t>Urteil vom 14. April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Thurgau, Rechtsdienst, Promenadenstrasse 8, 8510 Frauenfeld,</w:t>
      </w:r>
    </w:p>
    <w:p>
      <w:r>
        <w:t>Beschwerdegegner.</w:t>
      </w:r>
    </w:p>
    <w:p>
      <w:r>
        <w:t>Gegenstand</w:t>
      </w:r>
    </w:p>
    <w:p>
      <w:r>
        <w:t>Arbeitslosenversicherung (Prozessvoraussetzung),</w:t>
      </w:r>
    </w:p>
    <w:p>
      <w:r>
        <w:t>Beschwerde gegen den Entscheid des Verwaltungsgerichts des Kantons Thurgau vom 23. Februar 2022 (VV.2021.72).</w:t>
      </w:r>
    </w:p>
    <w:p>
      <w:r>
        <w:t>Nach Einsicht</w:t>
      </w:r>
    </w:p>
    <w:p>
      <w:r>
        <w:t>in die Beschwerde vom 28. März 2022 (Poststempel) gegen den Entscheid des Verwaltungsgerichts des Kantons Thurgau vom 23.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diese von der Vorinstanz verletzt worden sind ( BGE 134 V 53 E. 3.3 und 133 IV 286 E. 1.4), während rein appellatorische Kritik nicht genügt (vgl. BGE 137 V 57 E. 1.3 und 136 I 65 E. 1.3.1),</w:t>
      </w:r>
    </w:p>
    <w:p>
      <w:r>
        <w:t>dass die Vorinstanz in Berücksichtigung der Parteivorbringen und Nennung der anwendbaren Rechtsbestimmungen darlegte, weshalb das Amt den Beschwerdeführer in der Anspruchsberechtigung auf 31 Taggelder einstellen durfte,</w:t>
      </w:r>
    </w:p>
    <w:p>
      <w:r>
        <w:t>dass sie in Würdigung der aufgelegten Arztberichte namentlich erwog, eine die avisierte Arbeitsstelle als Netzwerkadministrator bei der B.________ AG als unzumutbar erscheinen lassende gesundheitliche Beeinträchtigung sei</w:t>
      </w:r>
    </w:p>
    <w:p>
      <w:r>
        <w:t>objektiv nicht ausgewiesen; auf das Einholen eines Berichtes von Dr. med. C.________, welcher vor mehreren Jahren (als erster) eine "Elektrohypersensitivität" diagnostiziert haben soll, verzichtete das kantonale Gericht, da sich auch daraus keine zeitnah dokumentierte, aktuelle und objektivierbare gesundheitliche Beeinträchtigung ergebe, welche die Arbeitsstelle als unzumutbar erscheinen liesse,</w:t>
      </w:r>
    </w:p>
    <w:p>
      <w:r>
        <w:t>dass der Beschwerdeführer letztinstanzlich seine eigene Sicht der Dinge wiederholt; inwiefern die vom kantonalen Gericht vorgenommene Beweiswürdigung rechtsfehlerhaft, d.h. willkürlich ( BGE 146 IV 88 E. 1.3.1 mit Hinweisen) sein oder der Entscheid sonstwie gegen Bundesrecht verstossen soll, legt er nicht dar,</w:t>
      </w:r>
    </w:p>
    <w:p>
      <w:r>
        <w:t>dass damit den eingangs erwähnten Mindestanforderungen an eine Beschwerdebegründung offensichtlich nicht genügt wird,</w:t>
      </w:r>
    </w:p>
    <w:p>
      <w:r>
        <w:t>dass es insbesondere nicht ausreicht, den Bericht von Dr. med. C.________ aus dem Jahr 2012 nachzureichen, ohne zugleich aufzuzeigen, inwiefern daraus etwas für den massgeblichen Zeitraum des Bewerbungsprozesses im August 2020 gewonnen werden könnte, zumal darin lediglich ein auf drei Monate befristetes Therapiekonzept zur Behandlung einer hochgradigen Elektrosensibilität empfohlen ist (vgl. zudem das Novenverbot gemäss Art. 99 Abs. 1 BGG ),</w:t>
      </w:r>
    </w:p>
    <w:p>
      <w:r>
        <w:t>dass die Vorbringen insgesamt nicht über eine letztinstanzlich unzulässige appellatorische Kritik hinausgehen,</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Staatssekretariat für Wirtschaft (SECO) schriftlich mitgeteilt.</w:t>
      </w:r>
    </w:p>
    <w:p>
      <w:r>
        <w:t>Luzern, 14. April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