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8C_225/2013 vom 5. September 2013</w:t>
      </w:r>
    </w:p>
    <w:p>
      <w:r>
        <w:t>Bundesgericht, 2013-09-05, DE</w:t>
      </w:r>
    </w:p>
    <w:p>
      <w:r>
        <w:rPr>
          <w:b/>
        </w:rPr>
        <w:t xml:space="preserve">Quelle: </w:t>
      </w:r>
      <w:r>
        <w:t>https://mcp.opencaselaw.ch/entscheid/bger_8C_225_2013</w:t>
      </w:r>
    </w:p>
    <w:p>
      <w:r>
        <w:t>FR: TF 8C_225/2013 du 5 septembre 2013</w:t>
      </w:r>
    </w:p>
    <w:p>
      <w:r>
        <w:t>IT: TF 8C_225/2013 del 5 settembre 2013</w:t>
      </w:r>
    </w:p>
    <w:p>
      <w:pPr>
        <w:pStyle w:val="Heading2"/>
      </w:pPr>
      <w:r>
        <w:t>Erwägungen</w:t>
      </w:r>
    </w:p>
    <w:p>
      <w:r>
        <w:rPr>
          <w:b/>
        </w:rPr>
        <w:t>E. 1</w:t>
      </w:r>
    </w:p>
    <w:p>
      <w:r>
        <w:t>Streitig ist der Erlass der mit rechtskräftiger Verfügung vom 28. No-vember 2011 geforderten Rückerstattung von Fr. 84'272.-.</w:t>
      </w:r>
    </w:p>
    <w:p>
      <w:r>
        <w:rPr>
          <w:b/>
        </w:rPr>
        <w:t>E. 2</w:t>
      </w:r>
    </w:p>
    <w:p>
      <w:r>
        <w:t>Wie das kantonale Gericht zutreffend dargelegt hat, sind unrechtmässig bezogene Leistungen gemäss Art. 25 Abs. 1 ATSG zurückzuerstatten (Satz 1); wer Leistungen in gutem Glauben empfangen hat, muss sie nicht zurückerstatten, wenn eine grosse Härte vorliegt (Satz 2). Nach der Rechtsprechung entfällt der gute Glaube als Erlassvoraussetzung von vornherein, wenn der Rückerstattungstatbestand (Melde- oder Auskunftspflichtverletzung) durch ein arglistiges oder grobfahrlässiges Verhalten herbeigeführt worden ist. Andererseits kann sich die versicherte Person auf den guten Glauben berufen, wenn ihre fehlerhafte Handlung oder Unterlassung nur eine leichte Verletzung der Melde- oder Auskunftspflicht darstellt ( BGE 112 V 97 E. 2c S. 103 mit Hinweisen).</w:t>
      </w:r>
    </w:p>
    <w:p>
      <w:r>
        <w:rPr>
          <w:b/>
        </w:rPr>
        <w:t>E. 3</w:t>
      </w:r>
    </w:p>
    <w:p>
      <w:r>
        <w:t>Gemäss der vor Inkrafttreten des BGG ergangenen und weiterhin gültigen Rechtsprechung ist bei der Frage nach der Gutgläubigkeit beim Leistungsbezug hinsichtlich der Überprüfungsbefugnis des Bundesgerichts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4</w:t>
      </w:r>
    </w:p>
    <w:p>
      <w:r>
        <w:t>Die Vorinstanz bezeichnete die Rentenberechnung als für den Laien nicht ohne weiteres nachvollziehbar und sah im Umstand, dass es sich bei den Rentenberechnungen für die Verfügungen vom 23. Januar und 11. September 2009 bereits um eine Neuberechnung gehandelt hat, "einen gewissen Vertrauensschutz" der Beschwerdegegnerin auf eine nunmehr korrekt erfolgte Berechnung begründet, welche sie von einer nochmaligen Überprüfung derselben im Detail befreien würde; auch habe die Versicherte nicht davon ausgehen müssen, dass die neue Berechnung wiederum einen groben Fehler aufweisen würde; es kämen die zum damaligen Zeitpunkt ausgewiesenen psychischen Probleme dazu, wegen derer die Versicherte ihre damals vorhandene Energie auf die Bewältigung des gewöhnlichen Alltags konzentriert habe, so dass es ihr am Bewusstsein für den ungerechtfertigten Leistungsbezug gefehlt habe.</w:t>
      </w:r>
    </w:p>
    <w:p>
      <w:r>
        <w:t>Die Beschwerdeführerin zieht die Feststellungen der Vorinstanz zum fehlenden Unrechtsbewusststein beim Leistungsbezug nicht in Zweifel, geht indessen davon aus, die Beschwerdegegnerin hätte bei zumutbarer Aufmerksamkeit die Fehlerhaftigkeit der Rentenverfügungen vom 23. Januar und 11. September 2009 erkennen müssen.</w:t>
      </w:r>
    </w:p>
    <w:p>
      <w:r>
        <w:rPr>
          <w:b/>
        </w:rPr>
        <w:t>E. 4.1</w:t>
      </w:r>
    </w:p>
    <w:p>
      <w:r>
        <w:t>Auch wenn den Rentenverfügungen spezielle Berechnungsblätter beigelegt sind, lässt sich für einen Laien deren Berechnung nur schwerlich im Detail nachvollziehen. Insoweit ist der Vorinstanz zu folgen. Indessen entbindet dies den Verfügungsadressaten nicht, die Verfügung zumindest einer Plausibilitätskontrolle zu unterziehen. Dazu gehört etwa, die in den Berechnungsblättern ausgewiesenen Erwerbseinkommen und das sich daraus ergebende, in der Verfügung direkt angeführte, für die Bestimmung der Rentenhöhe massgebliche Erwerbseinkommen nach offenkundigen Fehlern zu sichten. Einen solchen offenkundigen Irrtum erkannte die Versicherte bei der ersten Verfügung: Auf der Zusammenstellung waren keinerlei Einkünfte aus der Landwirtschaft ausgewiesen, obwohl in den Jahren 1989 bis 2008 ein solches mit der Arbeitslosenkasse abgerechnet worden war.</w:t>
      </w:r>
    </w:p>
    <w:p>
      <w:r>
        <w:t>Zwar konnte die Versicherte ihr Augenmerk bei der Überprüfung der zweiten Verfügung zunächst auf die von ihr bereits beanstandeten Punkte legen. Dabei durfte sie sich aber nicht darauf beschränken, allein zu prüfen, ob neue Einkommen berücksichtigt worden sind. Vielmehr war auch zu fragen, ob das Ergebnis, d.h. das nunmehr für massgeblich erachtete Jahreseinkommen in der Höhe von Fr. 80'712.-, in Berücksichtigung der ungefähren Einkommenssituation in der Landwirtschaft im Vergleich zum ersten von Fr. 27'846.- plausibel erscheine. Gründe, die versicherte Person von einer solchen Prüfungspflicht zu befreien, sind keine ersichtlich. Allein im Umstand, dass es sich bei der zu überprüfenden Verfügung um eine Korrektur eines Berechnungsfehlers wegen fehlender Berücksichtigung von Einkommen aus einer Tätigkeit handelt, ist nichts Derartiges zu erblicken. Ist die Neuberechnung - wie vorliegend - auf Veranlassung der versicherten Person erfolgt, ist gegenteils erst recht zu erwarten, dass diese im Rahmen einer Plausibilitätskontrolle auch prüft, ob ihre Beanstandung nunmehr korrekt umgesetzt erscheint.</w:t>
      </w:r>
    </w:p>
    <w:p>
      <w:r>
        <w:rPr>
          <w:b/>
        </w:rPr>
        <w:t>E. 4.2</w:t>
      </w:r>
    </w:p>
    <w:p>
      <w:r>
        <w:t>Wie die Verwaltung zutreffend geltend macht, hätten der Versicherten bereits angesichts der Höhe des auf der Hauptseite der Rentenverfügung ausgewiesenen massgeblichen durchschnittlichen Einkommens erhebliche Zweifel an der Richtigkeit der neuen Rentenberechnung aufkommen müssen, lag dieses doch mit Fr. 80'712.- neu rund Fr. 53'000.- höher und damit beinahe dreimal so hoch wie das bisherige, wogegen der tatsächlich abgerechnete Verdienst in der Landwirtschaft all die Jahre zwischen Fr. 7'623.- bis Fr. 26'400.- geschwankt hat. Zwar darf und durfte nicht erwartet werden, dass die Versicherte ihre Einkommenssituation in allen Einzelheiten in Erinnerung hat und hatte. Bei einer derart hohen Abweichung ist aber bei allem Verständnis für die von ihr dargelegte, im kantonalen Entscheid wiedergegebene Lebenssituation davon auszugehen, dass sich bei gebotener Aufmerksamkeit Fragen zur Rechtmässigkeit des neu von der Verwaltung eingesetzten Durchschnittswertes hätten auftauchen müssen. Zur gebotenen Aufmerksamkeit gehört auch, sich ein grobes Bild über seine ungefähren Einkommensverhältnisse aus der Landwirtschaft zu verschaffen, falls dies nicht ohnehin schon geschehen sein sollte. Alsdann hätte es an ihr gelegen, entweder dazu direkt die Verwaltung zu kontaktieren oder aber zunächst noch auf den in den Beiblättern zur Anrechnung aufgeführten Einkommen die Antwort zu finden. Dass sie dazu aus gesundheitlichen Gründen bei zumutbarer Willensanstrengung nicht in die Lage versetzt gewesen wäre, ist nicht erstellt. Allenfalls hätte sie auch jemanden zur Hilfe beiziehen können. Eine einfache Überprüfung der auf den Beiblättern aufgeführten Einkommen hätte eine augenfällige Diskrepanz zur tatsächlichen wirtschaftlichen Situation der Beschwerdegegnerin und damit zur Fehlerhaftigkeit der Verfügung offengelegt: So wird etwa für das Jahr 2006 ein Einkommenstotal von Fr. 103'920.- angeführt.</w:t>
      </w:r>
    </w:p>
    <w:p>
      <w:r>
        <w:rPr>
          <w:b/>
        </w:rPr>
        <w:t>E. 4.3</w:t>
      </w:r>
    </w:p>
    <w:p>
      <w:r>
        <w:t>Dadurch, dass die Versicherte die neue Rentenverfügung nicht mit der gebotenen Aufmerksamkeit überprüft hatte, hat sie den für sie leicht erkennbaren Mangel übersehen und es damit auch unterlassen, die Verwaltung darauf hinzuweisen. Dieses Fehlverhalten kann nicht als leichte Nachlässigkeit gewertet werden.</w:t>
      </w:r>
    </w:p>
    <w:p>
      <w:r>
        <w:rPr>
          <w:b/>
        </w:rPr>
        <w:t>E. 5</w:t>
      </w:r>
    </w:p>
    <w:p>
      <w:r>
        <w:t>Kann sich die Beschwerdegegnerin unter den gegebenen Umständen nicht auf den guten Glauben berufen, entfällt die Erlassmöglichkeit ungeachtet dessen, ob die Rückerstattungsforderung zu einer grossen Härte führt oder nicht. Die Beschwerde ist gutzuheissen.</w:t>
      </w:r>
    </w:p>
    <w:p>
      <w:r>
        <w:rPr>
          <w:b/>
        </w:rPr>
        <w:t>E. 6</w:t>
      </w:r>
    </w:p>
    <w:p>
      <w:r>
        <w:t>Die Gerichtskosten sind ausgangsgemäss der Beschwerdegegnerin aufzuerlegen (Art. 66. Abs. 1 BGG). Der Verwaltung wird in Nachachtung von Art. 68 Abs. 3 BGG trotz des Obsiegens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