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8C_223/2023 vom 24. Mai 2023</w:t>
      </w:r>
    </w:p>
    <w:p>
      <w:r>
        <w:t>Bundesgericht, 2023-05-24, DE</w:t>
      </w:r>
    </w:p>
    <w:p>
      <w:r>
        <w:rPr>
          <w:b/>
        </w:rPr>
        <w:t xml:space="preserve">Quelle: </w:t>
      </w:r>
      <w:r>
        <w:t>https://mcp.opencaselaw.ch/entscheid/bger_8C_223_2023</w:t>
      </w:r>
    </w:p>
    <w:p>
      <w:r>
        <w:t>FR: TF 8C_223/2023 du 24 mai 2023</w:t>
      </w:r>
    </w:p>
    <w:p>
      <w:r>
        <w:t>IT: TF 8C_223/2023 del 24 maggio 2023</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Die Vorinstanz trat im angefochtenen Urteil vom 17. März 2023 auf die gegen die Verfügung der Beschwerdegegnerin vom 3. Februar 2023 gerichtete Eingabe vom 17. Februar 2023 nicht ein; dies, weil der Beschwerdeführer die ihm unter Androhung des Nichteintretens im Unterlassungsfall angesetzte Frist zur Verbesserung der Beschwerde bzw. zur klaren Dokumentation des Beschwerdewillens unbenutzt verstreichen lassen habe.</w:t>
      </w:r>
    </w:p>
    <w:p>
      <w:r>
        <w:rPr>
          <w:b/>
        </w:rPr>
        <w:t>E. 3</w:t>
      </w:r>
    </w:p>
    <w:p>
      <w:r>
        <w:t>Damit setzt sich der Beschwerdeführer nicht näher auseinander, weder in seiner Eingabe vom 18. April 2023 noch in derjenigen vom 25. April 2023.</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