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222/2013 vom 10. Februar 2014</w:t>
      </w:r>
    </w:p>
    <w:p>
      <w:r>
        <w:t>Bundesgericht, 2014-02-10, FR</w:t>
      </w:r>
    </w:p>
    <w:p>
      <w:r>
        <w:rPr>
          <w:b/>
        </w:rPr>
        <w:t xml:space="preserve">Quelle: </w:t>
      </w:r>
      <w:r>
        <w:t>https://mcp.opencaselaw.ch/entscheid/bger_8C_222_2013</w:t>
      </w:r>
    </w:p>
    <w:p>
      <w:r>
        <w:t>FR: TF 8C 222/2013 du 10 février 2014</w:t>
      </w:r>
    </w:p>
    <w:p>
      <w:r>
        <w:t>IT: TF 8C 222/2013 del 10 febbraio 2014</w:t>
      </w:r>
    </w:p>
    <w:p>
      <w:pPr>
        <w:pStyle w:val="Heading2"/>
      </w:pPr>
      <w:r>
        <w:t>Regeste</w:t>
      </w:r>
    </w:p>
    <w:p>
      <w:r>
        <w:t>Assurance militaire (rente pour atteinte à l'intégrité) | Assurance militaire</w:t>
      </w:r>
    </w:p>
    <w:p>
      <w:pPr>
        <w:pStyle w:val="Heading2"/>
      </w:pPr>
      <w:r>
        <w:t>Erwägungen</w:t>
      </w:r>
    </w:p>
    <w:p>
      <w:r>
        <w:rPr>
          <w:b/>
        </w:rPr>
        <w:t>E. 1</w:t>
      </w:r>
    </w:p>
    <w:p>
      <w:r>
        <w:t>Le litige porte sur le taux de la rente pour atteinte à l'intégrité. Le début du droit à la rente n'est en revanche plus litigieux. Dès lors que le jugement entrepris porte sur le droit à des prestations en espèces de l'assurance militaire, le Tribunal fédéral n'est pas lié par les faits établis par l'autorité précédente (art. 97 al. 2 et 105 al. 3 LTF).</w:t>
      </w:r>
    </w:p>
    <w:p>
      <w:r>
        <w:rPr>
          <w:b/>
        </w:rPr>
        <w:t>E. 2.1</w:t>
      </w:r>
    </w:p>
    <w:p>
      <w:r>
        <w:t>Aux termes de l'art. 48 de la loi sur l'assurance militaire (LAM; RS 833.1), si l'assuré souffre d'une atteinte notable et durable à son intégrité physique, mentale ou psychique, il a droit à une rente pour atteinte à l'intégrité (al. 1). La rente pour atteinte à l'intégrité est due dès la fin du traitement médical ou lorsque la poursuite du traitement ne laisse plus prévoir d'amélioration notable de l'état de santé de l'assuré (al. 2). La gravité de l'atteinte à l'intégrité est déterminée équitablement en tenant compte de toutes les circonstances ( art. 49 al. 1 LAM ). La rente pour atteinte à l'intégrité est fixée en pour-cent du montant annuel qui sert de base au calcul des rentes selon l'al. 4 et compte tenu de la gravité de l'atteinte à l'intégrité (art. 49 al. 2, première phrase, LAM).</w:t>
      </w:r>
    </w:p>
    <w:p>
      <w:r>
        <w:rPr>
          <w:b/>
        </w:rPr>
        <w:t>E. 2.2</w:t>
      </w:r>
    </w:p>
    <w:p>
      <w:r>
        <w:t>Contrairement à l'ancienne pratique ( ATF 117 V 71 consid. 3 a/bb/aaa p. 77), la loi ne limite pas le droit à une prestation à la seule atteinte des fonctions dites primaires de l'existence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l'environnement personnel et social de l'assuré. En font partie les activités sociales comme la participation à la vie associative ou culturelle ainsi que les loisirs, notamment les activités sportives, artisanales ou musicales ( JÜRG MAESCHI, Kommentar zum Militärversicherungsgesetz, 2000, n° 12 s. ad art. 49 LAM ).</w:t>
      </w:r>
    </w:p>
    <w:p>
      <w:r>
        <w:rPr>
          <w:b/>
        </w:rPr>
        <w:t>E. 2.3</w:t>
      </w:r>
    </w:p>
    <w:p>
      <w:r>
        <w:t>Pour évaluer le préjudice résultant d'une atteinte à l'intégrité, l'OFAM a élaboré des directives internes, des tables, des échelles, etc., destinées à garantir l'égalité de traitement entre les assurés. Selon une jurisprudence constante, une telle pratique n'est en principe pas critiquable.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 M 7/00 du 22 octobre 2001, consid. 4a; SVR 1998 MV n° 2 p. 6 consid. 3b).</w:t>
      </w:r>
    </w:p>
    <w:p>
      <w:r>
        <w:rPr>
          <w:b/>
        </w:rPr>
        <w:t>E. 3.1</w:t>
      </w:r>
    </w:p>
    <w:p>
      <w:r>
        <w:t>Les premiers juges ont fixé le taux de l'atteinte à l'intégrité en se fondant dans un premier temps sur les valeurs indicatives de l'OFAM, en se référant à un raidissement du genou en position favorable, affection dont se rapprochait le plus celle de l'intimé en l'absence d'une valeur indicative plus spécifique au cas d'espèce. Ils ont ensuite évalué les incapacités concrètes de l'intimé ainsi que les désavantages en résultant dans son mode de vie en général. C'est ainsi qu'ils ont retenu que l'assuré souffrait de son genou depuis 1968 déjà, qu'il avait subi trois arthroscopies, marchait avec une canne et avait un périmètre de marche restreint. Par ailleurs, il ne pouvait plus faire de sport et souffrait d'une certaine obésité.</w:t>
      </w:r>
    </w:p>
    <w:p>
      <w:r>
        <w:rPr>
          <w:b/>
        </w:rPr>
        <w:t>E. 3.2</w:t>
      </w:r>
    </w:p>
    <w:p>
      <w:r>
        <w:t>L'assurance militaire reproche aux premiers juges d'avoir versé dans l'arbitraire en fixant le taux de l'atteinte à l'intégrité à 10 %. Elle relève tout d'abord que le taux de 5 % respecte le principe d'égalité de traitement entre les assurés dès lors qu'il a été fixé en procédant à une comparaison de la situation de l'assuré avec d'autres cas déjà "entrés en force". Par ailleurs, elle rappelle qu'en 2004, la pose d'une prothèse totale du genou avait été préconisée par le docteur D.________, intervention à laquelle l'assuré s'était cependant opposé. Dès lors que ce dernier devait être considéré, certes fictivement, comme porteur d'une prothèse totale du genou, il y avait lieu de lui reconnaître un taux d'atteinte à l'intégrité de 5 %, soit le taux généralement retenu pour ce type de cas selon la recourante.</w:t>
      </w:r>
    </w:p>
    <w:p>
      <w:r>
        <w:rPr>
          <w:b/>
        </w:rPr>
        <w:t>E. 3.3</w:t>
      </w:r>
    </w:p>
    <w:p>
      <w:r>
        <w:t>S'il est vrai qu'en 2004, la pose d'une prothèse totale du genou était certes raisonnablement exigible, il découle de la jurisprudence que pour évaluer l'atteinte à l'intégrité en cas d'implantation de prothèses, il convient de se fonder sur l'état de santé non corrigé, comme en cas de remise de moyens auxiliaires (cf. ATF 117 V 71 consid. 3c/cc p. 82; voir aussi arrêt U 56/05 du 18 juillet 2005 consid. 2.2; JÜRG MAESCHI, op. cit., n° 28 ad art. 49 LAM ; JÜRG MAESCHI/MAX SCHMIDHAUSER, Die Abgeltung von Integritätsschäden in der Militärversicherung, in: RSAS 1997, p. 187). Par conséquent, l'argument de la recourante selon lequel l'atteinte à l'intégrité devrait être évaluée comme si l'assuré était porteur d'une prothèse totale du genou n'est pas déterminant en l'occurrence. Quant aux cas que la recourante estime comparables (au nombre de trois), ils concernent une pangonarthrose prononcée, une gonarthrose et une gonarthrose débutante pour lesquelles la doctoresse A.________ indique que des taux respectifs de 7,5 %, 5 % et 2,5 % ont été retenus par l'assurance militaire (rapport du 22 janvier 2010). Ces cas ne sont pas absolument identiques à la situation de l'intimé et il n'apparaît pas injustifié, dans la situation présente, d'opérer une comparaison avec un assuré souffrant d'un raidissement du genou en position favorable, atteinte qui donne lieu à une indemnité de 10 % ( JÜRG MAESCHI/MAX SCHMIDHAUSER, op. cit., p. 191). On ne dispose au demeurant pas d'éléments suffisants pour apprécier en connaissance de cause la pertinence du choix et la représentativité des cas auxquels se réfère la recourante. Toujours est-il que celle-ci ne démontre pas en quoi les premiers juges auraient violé le droit fédéral en faisant une mauvaise application des valeurs indicatives fixées par l'OFAM (cf. consid. 2.3) et/ou de la jurisprudence. Il résulte de ce qui précède que le recours est mal fondé.</w:t>
      </w:r>
    </w:p>
    <w:p>
      <w:r>
        <w:rPr>
          <w:b/>
        </w:rPr>
        <w:t>E. 4</w:t>
      </w:r>
    </w:p>
    <w:p>
      <w:r>
        <w:t>Vu le sort du litige, les frais de justice seront mis à la charge de la recourante, qui succombe ( art. 66 al. 1 LTF ). Par ailleurs, l'intimé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