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8C_221/2026 vom 4. Mai 2026</w:t>
      </w:r>
    </w:p>
    <w:p>
      <w:r>
        <w:t>Bundesgericht, 2026-05-04, DE</w:t>
      </w:r>
    </w:p>
    <w:p>
      <w:r>
        <w:rPr>
          <w:b/>
        </w:rPr>
        <w:t xml:space="preserve">Quelle: </w:t>
      </w:r>
      <w:r>
        <w:t>https://mcp.opencaselaw.ch/entscheid/bger_8C_221_2026</w:t>
      </w:r>
    </w:p>
    <w:p>
      <w:r>
        <w:t>FR: TF 8C_221/2026 du 4 mai 2026</w:t>
      </w:r>
    </w:p>
    <w:p>
      <w:r>
        <w:t>IT: TF 8C_221/2026 del 4 maggio 2026</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 Dies bedingt bei angefochtenen Nichteintretensurteilen praxisgemäss eine spezifische Auseinandersetzung mit den Nichteintretensgründen ( BGE 123 V 335 ).</w:t>
      </w:r>
    </w:p>
    <w:p>
      <w:r>
        <w:rPr>
          <w:b/>
        </w:rPr>
        <w:t>E. 2</w:t>
      </w:r>
    </w:p>
    <w:p>
      <w:r>
        <w:t>Das kantonale Gericht trat mit Urteil vom 25. Februar 2026 auf die vom Beschwerdeführer erhobene Beschwerde gegen einen Entscheid vom 13. November 2025 wegen Nichteinreichens des angefochtenen Entscheids innert gesetzter Nachfrist nicht ein.</w:t>
      </w:r>
    </w:p>
    <w:p>
      <w:r>
        <w:rPr>
          <w:b/>
        </w:rPr>
        <w:t>E. 3</w:t>
      </w:r>
    </w:p>
    <w:p>
      <w:r>
        <w:t>Darauf geht der Beschwerdeführer mit keinem Wort ein. Vielmehr beschränkt er sich darauf, pauschal Leistungen aus der Militärversicherung zu verlangen.</w:t>
      </w:r>
    </w:p>
    <w:p>
      <w:r>
        <w:rPr>
          <w:b/>
        </w:rPr>
        <w:t>E. 4</w:t>
      </w:r>
    </w:p>
    <w:p>
      <w:r>
        <w:t>Enthält die Beschwerde offensichtlich keine hinreichende Begründung, führt dies zu einem Nichteintreten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