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8C_221/2020 vom 2. Juli 2020</w:t>
      </w:r>
    </w:p>
    <w:p>
      <w:r>
        <w:t>Bundesgericht, 2020-07-02, DE</w:t>
      </w:r>
    </w:p>
    <w:p>
      <w:r>
        <w:rPr>
          <w:b/>
        </w:rPr>
        <w:t xml:space="preserve">Quelle: </w:t>
      </w:r>
      <w:r>
        <w:t>https://mcp.opencaselaw.ch/entscheid/bger_8C_221_2020</w:t>
      </w:r>
    </w:p>
    <w:p>
      <w:r>
        <w:t>FR: TF 8C_221/2020 du 2 juillet 2020</w:t>
      </w:r>
    </w:p>
    <w:p>
      <w:r>
        <w:t>IT: TF 8C_221/2020 del 2 luglio 2020</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Die Beschwerdeführerin rügt vorab in formeller Hinsicht, das kantonale Gericht habe Art. 6 Ziff. 1 EMRK sowie Art. 61 lit. a und e ATSG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Parteiantrags grundsätzlich eine öffentliche Verhandlung durchzuführen ( BGE 136 I 279 E. 1 S. 281; SVR 2014 UV Nr. 11 S. 37, 8C_273/2013 E. 1.2 mit Hinweisen). Ein während des ordentlichen Schriftenwechsels gestellter Antrag gilt dabei als rechtzeitig ( BGE 134 I 331 ; vgl. zum Ganzen: SVR 2017 UV Nr. 30 S. 99, 8C_723/2016 E. 2.1 und 2.2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S. 281 mit Hinweis auf BGE 122 V 47 E. 3b/ee und 3b/ff. S. 57 f.; vgl. zum Ganzen: SVR 2017 UV Nr. 30 S. 99, 8C_723/2016 E. 2.3 mit Hinweisen).</w:t>
      </w:r>
    </w:p>
    <w:p>
      <w:r>
        <w:rPr>
          <w:b/>
        </w:rPr>
        <w:t>E. 3.1</w:t>
      </w:r>
    </w:p>
    <w:p>
      <w:r>
        <w:t>Der Antrag auf Durchführung einer öffentlichen Verhandlung im Sinne der EMRK wurde unbestrittenermassen rechtzeitig in der vorinstanzlichen Beschwerdeschrift gestellt. Das kantonale Gericht entsprach diesem Begehren nicht mit der Begründung, das Ersuchen der Beschwerdeführerin sei darauf ausgerichtet, dem Obergericht einen persönlichen Eindruck von ihr zu vermitteln und diesem die noch vorhandenen Folgen des Unfalls zu schildern. Dies zeige sich u.a. daran, dass auch in der Stellungnahme vom 10. September 2018 die persönliche Befragung in den Vordergrund gerückt werde. Tat- oder Rechtsfragen, die sich aufgrund der Akten und der schriftlichen Parteivorbringen nicht beantworten liessen, würden nicht genannt und seien für das Gericht auch nicht ersichtlich. Des Weiteren werde nicht begründet dargelegt, dass zur Kontrolle und Transparenz der Rechtsfindung die Anwesenheit von Publikum und Presse an einer Gerichtsverhandlung erforderlich sein solle. Schliesslich sei die Beurteilung des Gesundheitszustands nicht Sache des Gerichts, sondern des Mediziners.</w:t>
      </w:r>
    </w:p>
    <w:p>
      <w:r>
        <w:rPr>
          <w:b/>
        </w:rPr>
        <w:t>E. 3.2</w:t>
      </w:r>
    </w:p>
    <w:p>
      <w:r>
        <w:t>Von der beantragten öffentlichen Verhandlung hätte das Gericht nur bei Vorliegen von in Erwägung 2.2 hiervor genannten Gründen absehen dürfen. Dass ein solcher Grund gegeben wäre, hat die Vorinstanz zu Recht nicht erwogen und ist auch nicht ersichtlich. Soweit das kantonale Gericht im Ersuchen der Beschwerdeführerin lediglich den Antrag auf eine persönliche Anhörung sieht, kann ihm nicht gefolgt werden. Im Rahmen ihrer Rechtsbegehren zuhanden der Vorinstanz beantragte die Versicherte ausdrücklich eine öffentliche Verhandlung und verwies auf Art. 6 Ziff. 1 EMRK sowie Art. 61 lit. a und e ATSG . Damit liegt ein klarer und unmissverständlicher Parteiantrag vor, wie ihn die Rechtsprechung im gegebenen Zusammenhang verlangt (vgl. E. 2.1). Soweit die Beschwerdeführerin in der Begründung auf den persönlichen Eindruck verwies, den sie dem kantonalen Gericht von sich und ihrem Gesundheitszustand verschaffen wollte, kann darin zwar zugleich ein Beweisantrag auf persönliche Befragung erblickt werden. Von einem ausschliesslich auf eine Beweisabnahme gerichteten Begehren, worauf der Öffentlichkeitsgrundsatz tatsächlich keinen Anspruch einräumt (vgl. Urteil 8C_722/2019 vom 20. Februar 2020 E. 3.2 mit Hinweis), kann unter den gegebenen Umständen jedoch nicht ausgegangen werden. Im Übrigen wäre die Vorinstanz zur Rückfrage bei der Beschwerdeführerin gehalten gewesen, wenn sie Zweifel an der Ernsthaftigkeit des Antrags auf eine öffentliche Verhandlung gehabt hätte ( BGE 127 I 44 E. 2e/bb S. 48 und 8C_722/2019 vom 20. Februar 2020 E. 3.2 mit Hinweisen).</w:t>
      </w:r>
    </w:p>
    <w:p>
      <w:r>
        <w:rPr>
          <w:b/>
        </w:rPr>
        <w:t>E. 3.3</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Es ist daher unumgänglich, die Sache an das kantonale Gericht zurückzuweisen, damit es diesen Verfahrensmangel behebt und die von der Beschwerdeführerin verlangte öffentliche Verhandlung durchführt. Danach wird es über die Beschwerde materiell neu befinden (vgl. BGE 136 I 279 E. 4 f. S. 284 f.; SVR 2017 UV Nr. 30 S. 99, 8C_723/2016 E. 3.3 mit Hinweisen).</w:t>
      </w:r>
    </w:p>
    <w:p>
      <w:r>
        <w:rPr>
          <w:b/>
        </w:rPr>
        <w:t>E. 4</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