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220/2023 vom 22. Mai 2023</w:t>
      </w:r>
    </w:p>
    <w:p>
      <w:r>
        <w:t>Bundesgericht, 2023-05-22, FR</w:t>
      </w:r>
    </w:p>
    <w:p>
      <w:r>
        <w:rPr>
          <w:b/>
        </w:rPr>
        <w:t xml:space="preserve">Quelle: </w:t>
      </w:r>
      <w:r>
        <w:t>https://mcp.opencaselaw.ch/entscheid/bger_8C_220_2023</w:t>
      </w:r>
    </w:p>
    <w:p>
      <w:r>
        <w:t>FR: TF 8C 220/2023 du 22 mai 2023</w:t>
      </w:r>
    </w:p>
    <w:p>
      <w:r>
        <w:t>IT: TF 8C 220/2023 del 22 maggio 2023</w:t>
      </w:r>
    </w:p>
    <w:p>
      <w:pPr>
        <w:pStyle w:val="Heading2"/>
      </w:pPr>
      <w:r>
        <w:t>Regeste</w:t>
      </w:r>
    </w:p>
    <w:p>
      <w:r>
        <w:t>Assurance militaire (condition de recevabilité) | Assurance militaire</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son arrêt du 2 mars 2023, la cour cantonale a considéré que les agents de l'intimée n'avaient pas violé grossièrement leur obligation de remplir consciencieusement et avec diligence leurs devoirs de fonction. La décision d'allouer au recourant un capital de 96'000 fr., à titre de mesure de reclassement et pour solde de tout compte, avait résulté d'un examen circonstancié de la situation et ne constituait pas un acte illicite au sens de l' art. 78 al. 1 LPGA .</w:t>
      </w:r>
    </w:p>
    <w:p>
      <w:r>
        <w:rPr>
          <w:b/>
        </w:rPr>
        <w:t>E. 2.2</w:t>
      </w:r>
    </w:p>
    <w:p>
      <w:r>
        <w:t>Dans son écriture, le recourant se limite à se plaindre de sa situation sociale et économique, de son état de santé ainsi que de l'échec de son projet au Cameroun, en reprochant à l'intimée d'avoir "liquidé l'affaire" alors que ce projet n'aurait pas été viable. Son recours ne contient toutefois aucune critique précise à l'encontre de la motivation des juges cantonaux, en particulier s'agissant de l'absence d'acte illicite selon l' art. 78 al. 1 LPGA . A cet égard, il n'expose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