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8C_220/2020 vom 29. April 2020</w:t>
      </w:r>
    </w:p>
    <w:p>
      <w:r>
        <w:t>Bundesgericht, 2020-04-29, DE</w:t>
      </w:r>
    </w:p>
    <w:p>
      <w:r>
        <w:rPr>
          <w:b/>
        </w:rPr>
        <w:t xml:space="preserve">Quelle: </w:t>
      </w:r>
      <w:r>
        <w:t>https://mcp.opencaselaw.ch/entscheid/bger_8C_220_2020</w:t>
      </w:r>
    </w:p>
    <w:p>
      <w:r>
        <w:t>FR: TF 8C_220/2020 du 29 avril 2020</w:t>
      </w:r>
    </w:p>
    <w:p>
      <w:r>
        <w:t>IT: TF 8C_220/2020 del 29 aprile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8C_220/2020</w:t>
      </w:r>
    </w:p>
    <w:p>
      <w:r>
        <w:t>Urteil vom 29. April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Familienausgleichskasse des Kantons Zürich, Röntgenstrasse 17, 8087 Zürich,</w:t>
      </w:r>
    </w:p>
    <w:p>
      <w:r>
        <w:t>Beschwerdegegnerin.</w:t>
      </w:r>
    </w:p>
    <w:p>
      <w:r>
        <w:t>Gegenstand</w:t>
      </w:r>
    </w:p>
    <w:p>
      <w:r>
        <w:t>Familienzulage (Prozessvoraussetzung),</w:t>
      </w:r>
    </w:p>
    <w:p>
      <w:r>
        <w:t>Beschwerde gegen den Entscheid des Sozialversicherungsgerichts des Kantons Zürich vom 21. Januar 2020 (KA.2018.00012).</w:t>
      </w:r>
    </w:p>
    <w:p>
      <w:r>
        <w:t>Nach Einsicht</w:t>
      </w:r>
    </w:p>
    <w:p>
      <w:r>
        <w:t>in die Beschwerde vom 23. März 2020 gegen den Entscheid des Sozialversicherungsgerichts des Kantons Zürich vom 21. Januar 2020,</w:t>
      </w:r>
    </w:p>
    <w:p>
      <w:r>
        <w:t>in die Mitteilung des Bundesgerichts vom 26. März 2020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von A.________ am 15. April 2020eingereichte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Vorinstanz im angefochtenen Entscheid in Auseinandersetzung mit den Parteivorbringen dargelegt hat, inwiefern der Beschwerdeführer Familienzulagen in der Höhe von Fr. 23'700.- zu Unrecht bezogen hat, und weshalb dies die kantonale Familienausgleichskasse zur Rückforderung dieses Betrags ermächtigte,</w:t>
      </w:r>
    </w:p>
    <w:p>
      <w:r>
        <w:t>dass sie dem Beschwerdeführer insbesondere die gesetzgeberische Konzeption hinsichtlich der Anspruchsreihenfolge ( Art. 7 FamZG ) näher erörtert und aufgezeigt hat, weshalb diese zwingend ist,</w:t>
      </w:r>
    </w:p>
    <w:p>
      <w:r>
        <w:t>dass sie auch ausführte, weshalb es für die Frage der Rechtmässigkeit des Leistungsbezugs ohne Bedeutung sei, wie die Gelder verwendet wurden,</w:t>
      </w:r>
    </w:p>
    <w:p>
      <w:r>
        <w:t>dass der Beschwerdeführer darauf nicht hinreichend eingeht, sondern sich im Wesentlichen darauf beschränkt, das bereits vor Vorinstanz Vorgetragene zu wiederholen; inwiefern die dazu ergangenen Erwägungen auf einer unzutreffenden Sachverhaltsfeststellung im Sinne von Art. 97 Abs. 1 BGG beruhen oder rechtsfehlerhaft sein sollen, legt er nicht näher dar,</w:t>
      </w:r>
    </w:p>
    <w:p>
      <w:r>
        <w:t>dass dieser Begründungsmangel offensichtlich ist,</w:t>
      </w:r>
    </w:p>
    <w:p>
      <w:r>
        <w:t>dass deshalb die Angelegenheit im vereinfachten Verfahren nach Art. 108 Abs. 1 lit. b BGG erledigt wird,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29. April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