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220/2010 vom 18. Oktober 2010</w:t>
      </w:r>
    </w:p>
    <w:p>
      <w:r>
        <w:t>Bundesgericht, 2010-10-18, FR</w:t>
      </w:r>
    </w:p>
    <w:p>
      <w:r>
        <w:rPr>
          <w:b/>
        </w:rPr>
        <w:t xml:space="preserve">Quelle: </w:t>
      </w:r>
      <w:r>
        <w:t>https://mcp.opencaselaw.ch/entscheid/bger_8C_220_2010</w:t>
      </w:r>
    </w:p>
    <w:p>
      <w:r>
        <w:t>FR: TF 8C 220/2010 du 18 octobre 2010</w:t>
      </w:r>
    </w:p>
    <w:p>
      <w:r>
        <w:t>IT: TF 8C 220/2010 del 18 ottobre 2010</w:t>
      </w:r>
    </w:p>
    <w:p>
      <w:pPr>
        <w:pStyle w:val="Heading2"/>
      </w:pPr>
      <w:r>
        <w:t>Regeste</w:t>
      </w:r>
    </w:p>
    <w:p>
      <w:r>
        <w:t>Droit de la fonction publique | Fonction publique</w:t>
      </w:r>
    </w:p>
    <w:p>
      <w:pPr>
        <w:pStyle w:val="Heading2"/>
      </w:pPr>
      <w:r>
        <w:t>Erwägungen</w:t>
      </w:r>
    </w:p>
    <w:p>
      <w:r>
        <w:rPr>
          <w:b/>
        </w:rPr>
        <w:t>E. 1.1</w:t>
      </w:r>
    </w:p>
    <w:p>
      <w:r>
        <w:t>La décision attaquée concerne des rapports de travail de droit public au sens de l' art. 83 let . g LTF et 85 al. 1 let. b LTF. La notion de rapports de travail de droit public doit en effet être comprise dans un sens large et s'applique à tous les rapports de travail qui ne sont pas fondés sur le droit privé. Ce qui importe, c'est que l'intéressé soit engagé et rétribué par l'Etat, et soumis, comme le montre le présent cas, à un pouvoir disciplinaire (voir l'arrêt 8C_473/2009, rendu entre les mêmes parties, consid. 2; cf. aussi arrêt 1D_15/2007 du 13 décembre 2007 consid. 1.2; ALAIN WURZBURGER, in Commentaire de la LTF, 2009, n. 97 ss ad art. 83 LTF ).</w:t>
      </w:r>
    </w:p>
    <w:p>
      <w:r>
        <w:rPr>
          <w:b/>
        </w:rPr>
        <w:t>E. 1.2</w:t>
      </w:r>
    </w:p>
    <w:p>
      <w:r>
        <w:t>Selon l' art. 83 let . g LTF, en matière de rapports de travail de droit public (lorsque, comme en l'espèce, la question de l'égalité des sexes n'est pas en cause), le recours en matière de droit public est irrecevable contre les décisions qui concernent une contestation non pécuniaire. En l'espèce, le recourant a simplement conclu à l'annulation du jugement attaqué et de la décision précédente du Conseil d'Etat. Il n'a pas pris de conclusion en paiement d'une somme d'argent déterminée. Il ressort toutefois clairement des motifs du recours que l'intéressé a demandé à être réintégré dans ses fonctions, pour lesquelles il percevait une rémunération. Ses conclusions ont, en tout cas partiellement, un but économique, de sorte qu'il y a lieu de considérer qu'il s'agit d'une contestation de nature pécuniaire. Le recourant rappelle à ce propos qu'il a été nommé en qualité de membre du Conseil d'administration des SIG pour la période du 1er janvier 2007 au 31 décembre 2010. Comme il a été révoqué au début du mois de mars 2009, il a été privé de sa rémunération d'administrateur pendant 22 mois. Cette rémunération se compose d'un montant fixe (5'000 fr. par année) auquel s'ajoute une indemnité pour chaque séance du Conseil d'administration (360 fr. par séance). Le manque à gagner allégué pour 22 mois se serait élevé à 16'360 fr. (part fixe de 9'160 fr., plus 7'200 fr. pour 20 séances). Sans contester ces montants en tant que tels, le Conseil d'Etat soutient que l'appréciation de la valeur litigieuse ne devrait correspondre qu'à la seule rémunération de base, à l'exclusion des jetons de présence versés en sus. Selon lui, en effet, le recourant n'aurait reçu des jetons de présence que si et dans la mesure où il avait effectivement participé à des séances, ce qui n'a pas été le cas dès lors que la décision de révocation a été déclarée exécutoire nonobstant recours. Cette objection n'est toutefois pas fondée. Dans un tel cas, en effet, la valeur litigieuse se détermine en fonction de la rémunération totale versée à l'administrateur (cf. arrêt 5C.243/2004 du 2 mars 2005 consid. 1 non publié dans l' ATF 131 III 297 ; arrêt 5C.203/1999 du 14 mars 2000 consid. 1b non publié dans l' ATF 126 III 117 ). On doit donc admettre que le seuil requis de 15'000 fr. est atteint.</w:t>
      </w:r>
    </w:p>
    <w:p>
      <w:r>
        <w:rPr>
          <w:b/>
        </w:rPr>
        <w:t>E. 2</w:t>
      </w:r>
    </w:p>
    <w:p>
      <w:r>
        <w:t>Sous réserve d'exceptions (cf. art. 95 let . c et d LTF), non réalisées en l'espèce, la violation du droit cantonal ne constitue pas un motif de recours ( ATF 134 III 379 consid. 1.2 p. 382). Le recourant peut donc uniquement se plaindre de ce que la violation du droit cantonal par l'autorité précédente consacrerait simultanément une violation du droit fédéral au sens de l' art. 95 let. a LTF , en particulier l'interdiction de l'arbitraire garantie par l' art. 9 Cst. ( ATF 134 III 379 consid. 1.2 p. 382 s.; 133 I 201 consid. 1 p. 203; 133 III 462 consid. 2.3 p. 466).</w:t>
      </w:r>
    </w:p>
    <w:p>
      <w:r>
        <w:rPr>
          <w:b/>
        </w:rPr>
        <w:t>E. 3</w:t>
      </w:r>
    </w:p>
    <w:p>
      <w:r>
        <w:t>Par ailleurs, le Tribunal fédéral n'entre pas en matière sur la violation d'un droit de rang constitutionnel ou sur une question afférente au droit cantonal si le grief n'a pas été invoqué et motivé de manière détaillée par la partie recourante ( art. 106 al. 2 LTF ). En outre, il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ce qui lui appartient de démontrer par une argumentation répondant aux exigences de l' art. 42 al. 2 LTF , respectivement de l' art. 106 al. 2 LTF ( ATF 134 V 53 consid. 4.3 p. 62; 133 II 249 consid. 1.4.3 p. 254 s.).</w:t>
      </w:r>
    </w:p>
    <w:p>
      <w:r>
        <w:rPr>
          <w:b/>
        </w:rPr>
        <w:t>E. 4.1</w:t>
      </w:r>
    </w:p>
    <w:p>
      <w:r>
        <w:t>Selon l'art. 13 LSIG, quel que soit le mode de nomination, le Conseil d'Etat peut en tout temps révoquer l'administrateur pour de justes motifs. Est notamment considéré comme un juste motif le fait que, pendant la durée de sa fonction, l'administrateur s'est rendu coupable d'un acte grave, a manqué à ses devoirs ou est devenu incapable de bien gérer. L'art. 16 al. 2 let. a LSIG prévoit par ailleurs que le Conseil d'administration ordonne par règlement son mode de fonctionnement et l'exercice de sa surveillance générale sur l'établissement. Se fondant sur cette disposition, le Conseil d'administration a adopté un règlement interne, dont une partie est consacrée à la nature et à l'étendue des droits et des devoirs de l'administrateur. Il en ressort, en particulier, que l'administrateur doit agir dans l'intérêt des SIG et dans le respect de la mission de service public de l'établissement (devoir de fidélité). Il doit s'acquitter consciencieusement des tâches qui lui sont dévolues (devoir de diligence). Le règlement rappelle en outre que l'administrateur est soumis au secret de fonction pour toutes les informations dont il a eu connaissance dans l'exercice de son mandat. Il est notamment tenu de respecter la confidentialité des débats menés au sein du Conseil d'administration, du bureau et des commissions (ch. 5.4.1 et 5.4.2).</w:t>
      </w:r>
    </w:p>
    <w:p>
      <w:r>
        <w:rPr>
          <w:b/>
        </w:rPr>
        <w:t>E. 4.2</w:t>
      </w:r>
    </w:p>
    <w:p>
      <w:r>
        <w:t>Le recourant invoque l'arbitraire prohibé par l' art. 9 Cst. , en ce sens qu'il se plaint d'une application insoutenable de la législation cantonale. Il se prévaut de l'art. 6 let. a LSIG selon lequel l'administration des Services industriels est confiée à un Conseil d'administration composé, notamment, d'un membre de chaque parti représenté au Grand Conseil, désigné par ce dernier. Il met l'accent sur sa qualité de député et soutient, en substance, qu'il n'avait à rendre de comptes qu'aux élus du Grand Conseil et au peuple souverain. En présence de dysfonctionnements, son devoir de fidélité ne devait pas l'amener à les couvrir, mais au contraire à les dénoncer. En cas de conflits d'intérêts, ses obligations à l'égard des élus devaient primer et le conduire à dénoncer les irrégularités qu'il constatait, lorsque les démarches au sein des SIG n'avaient pas porté leurs fruits ou lorsqu'il apparaissait d'emblée qu'il serait vain d'espérer obtenir du Conseil d'administration qu'il corrige sa politique. En le sanctionnant parce qu'il avait privilégié la voie parlementaire au détriment des canaux internes à l'établissement, les premiers juges auraient appliqué de manière arbitraire la LSIG. Le recourant conteste par ailleurs le reproche d'avoir agi par la voie de la dénonciation publique. Si les faits dénoncés ont été relayés par la presse, c'est que les interventions parlementaires sont accessibles sur internet avant qu'elles ne soient traitées par le Conseil d'Etat. Faisant référence à la votation populaire du 1er juin 2008, il soutient que le peuple a clairement exprimé la volonté que les forces politiques du canton restent représentées dans les Conseils d'administration des grands établissements publics cantonaux et qu'elles y jouent un rôle actif et non qu'elles se cantonnent dans une «représentation passive». Le recourant prétend, par ailleurs, que la décision attaquée viole le principe de la proportionnalité. Il reproche au tribunal administratif de lui avoir fait un procès d'intention en affirmant que la situation «laisse clairement penser (que l'intéressé) ne changera pas d'attitude et qu'une mesure moins incisive ne pourrait atteindre le résultat escompté». Le recourant estime avoir agi à bon droit : à aucun moment il n'a pu être affirmé qu'il avait agi par légèreté ou pire, par mauvaise foi, c'est-à-dire en connaissance de l'inexactitude des faits dénoncés. Dès lors, même en admettant qu'il a violé ses devoirs, il aurait selon lui été possible de ne prononcer qu'une suspension pour une période déterminée, avec un avertissement à ne pas récidiver.</w:t>
      </w:r>
    </w:p>
    <w:p>
      <w:r>
        <w:rPr>
          <w:b/>
        </w:rPr>
        <w:t>E. 4.3</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apparaisse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 S'agissant du principe de la proportionnalité figurant à l' art. 5 al. 2 Cst. , il n'est pas un droit fondamental, mais simplement un principe constitutionnel. Comme le recours en matière de droit public peut être formé pour violation du droit fédéral en général ( art. 95 let. a LTF ), il est possible d'invoquer le principe de la proportionnalité directement et indépendamment d'un droit fondamental ( ATF 134 I 153 consid. 4.1 p. 156 s. et les références). Le Tribunal fédéral a toutefois précisé que, lorsqu'il examine le droit cantonal indépendamment de toute atteinte à un droit fondamental, il ne revoit pas le respect du principe de la proportionnalité librement, mais seulement sous l'angle de l'arbitraire ( ATF 134 I 153 consid. 4.3 p. 158). L'atteinte au principe de la proportionnalité soulevée ici se confond donc avec le grief d'arbitraire.</w:t>
      </w:r>
    </w:p>
    <w:p>
      <w:r>
        <w:rPr>
          <w:b/>
        </w:rPr>
        <w:t>E. 4.4</w:t>
      </w:r>
    </w:p>
    <w:p>
      <w:r>
        <w:t>Les premiers juges considèrent que la présence au sein du Conseil d'administration des SIG d'un membre de chaque parti représenté au Grand Conseil n'a pas pour but d'assurer une surveillance parlementaire de l'établissement, mais de garantir dans cet organe une représentation des différentes tendances politiques, ce qui est le corollaire du monopole d'Etat accordé aux SIG. Au reste, ajoutent les premiers juges, la qualité de représentant d'un parti politique au sein du Conseil d'administration n'est pas dépendante d'un mandat de député. La juridiction cantonale relève en outre que le Conseil d'administration est placé sous la surveillance du Conseil d'Etat, qui peut solliciter tous les dossiers et pièces justificatives s'il l'estime nécessaire ( art. 158 al. 5 Cst. -GE et art. 39 al. 2 LSIG). Si l'administrateur ne peut se substituer aux autorités de surveillance et de répression, il n'est pas privé du droit, lorsqu'il se trouve parallèlement député, d'utiliser les moyens parlementaires pour prendre politiquement et publiquement position si une infraction est dûment constatée par des organes compétents ou encore pour contester les décisions politiques légales prises à la majorité par le Conseil d'administration et qu'il désapprouve. En effet, toujours selon les premiers juges, le devoir de fidélité - qui implique un devoir de réserve - et le devoir de diligence, comme le secret de fonction de l'administrateur, ne sont pas incompatibles avec les droits et les devoirs des députés : des limitations existent, qui imposent notamment à l'administrateur-député de veiller à ne pas nuire, plus que ce qui est absolument nécessaire, à l'image et aux intérêts de l'établissement qu'il représente, de ne pas utiliser de propos inutilement blessants, de ne pas répandre de fausses informations, de vérifier la véracité des faits exposés à l'appui de ses interventions, d'épuiser tous les moyens légaux mis à sa disposition pour ce faire, de choisir le moment opportun - en pesant les intérêts de l'établissement, d'une part, et l'urgence d'une intervention politique, d'autre part - pour combattre politiquement ses positions, ou de ne pas provoquer, par le biais d'interpellations et de questions parlementaires, la divulgation de faits dont la confidentialité est nécessaire à la bonne exécution de décisions prises légalement et à la majorité des membres présents, par le Conseil d'administration.</w:t>
      </w:r>
    </w:p>
    <w:p>
      <w:r>
        <w:rPr>
          <w:b/>
        </w:rPr>
        <w:t>E. 4.5.1</w:t>
      </w:r>
    </w:p>
    <w:p>
      <w:r>
        <w:t>On ne voit pas que l'autorité précédente soit tombée dans l'arbitraire en tenant compte de ces considérations pour délimiter ainsi le devoir de fidélité incombant à un membre du Conseil d'administration des SIG en vertu de son règlement interne. Un devoir de fidélité semblable ou analogue s'impose aussi aux organes dirigeants des sociétés privées (voir p. ex. ATF 130 III 213 ; voir aussi RITA TRIGO TRINDADE, Le devoir de fidélité des dirigeants de la société anonyme lors de conflits d'intérêts, in SJ 1999 p. 385 ss). Comme le soulignent les premiers juges, il englobe le devoir de réserve, dont il constitue l'une des facettes (JEAN-MARC VERNIORY/FABIEN WAELTI, Le devoir de réserve des fonctionnaires, spécialement sous l'angle du droit genevois, PJA 7/2008 p. 810 s.).</w:t>
      </w:r>
    </w:p>
    <w:p>
      <w:r>
        <w:rPr>
          <w:b/>
        </w:rPr>
        <w:t>E. 4.5.2</w:t>
      </w:r>
    </w:p>
    <w:p>
      <w:r>
        <w:t>L'autorité cantonale pouvait aussi conclure, sans tomber dans l'arbitraire, que les députés-administrateurs nommés par le Grand Conseil ne bénéficient pas d'un statut spécial par rapport aux autres administrateurs et qu'ils ont par conséquent le même devoir de fidélité et de réserve que ces derniers. Un tel statut particulier ne peut en tout cas pas se déduire de la seule invocation de l'art. 6 let. a LSIG ni d'une autre disposition de cette loi, que le recourant invoque par ailleurs de manière toute générale. La thèse du recourant ne saurait davantage trouver appui dans le résultat de la votation du 1er juin 2008. S'il est vrai que le peuple a été majoritairement convaincu par les arguments des opposants qui souhaitaient maintenir une représentation politique au sein des conseils d'administration des grands établissements publics cantonaux (cf. ETIENNE POLTIER La surveillance des entités décentralisées, in François Bellanger/Thierry Tanquerel [édit.], Surveillance et contrôles de l'administration, 2008, p. 77 s.), ce résultat ne permet de tirer aucune conclusion quant à une éventuelle modification du régime de surveillance des établissements en question ou quant à une volonté de renforcer le rôle des partis politiques en conférant un statut privilégié à leurs représentants au sein des conseils d'administration. La nomination de certains administrateurs en fonction de leur appartenance politique dans les établissements de droit public vise à garantir une certaine représentativité dans l'organe qui définit les grandes orientations de l'établissement (voir THIERRY TANQUEREL, L'établissement public démocratisé : un modèle pour la collaboration intercantonale?, in RDAF I 2001, p. 29 s.). Certes, elle vise aussi, par un effet réflexe, une meilleure information du parlement, voire une publicité plus large, ce qui est notamment le cas lorsque les parlementaires ont une obligation de rendre compte à leurs collègues, par exemple au sein d'une commission parlementaire spécialisée (cf. ETIENNE POLTIER, Les entreprises d'économie mixte, Etude de droit suisse et de droit comparé, 1983, p. 285 et n. 116). Dans le cas présent on ne saurait cependant conclure que cette représentativité libère les personnes concernées de leur devoir de fidélité ou de réserve dans une mesure qui irait au-delà des limites fixées ci-dessus par la juridiction cantonale.</w:t>
      </w:r>
    </w:p>
    <w:p>
      <w:r>
        <w:rPr>
          <w:b/>
        </w:rPr>
        <w:t>E. 4.5.3</w:t>
      </w:r>
    </w:p>
    <w:p>
      <w:r>
        <w:t>Enfin, n'est pas non plus arbitraire la conclusion de la juridiction cantonale selon laquelle il existait en l'espèce de justes motifs propres à entraîner une révocation. A l'évidence, le recourant a manqué à ses devoirs de fidélité, de réserve et de discrétion, manquements qui sont en général considérés comme de justes motifs de résiliation (cf. MARIE-NOËLLE VENTURI-ZEN-RUFFINEN, La résiliation pour justes motifs des contrats de durée, Fribourg 2007, n° 777 ss p. 233 ss). Sans la moindre précaution, le recourant a porté de graves accusations relatives à la gestion des SIG (établissement de faux bilans, tromperie des consommateurs, dilapidation d'actifs, «vols» au détriment des usagers, etc.). Ce faisant, il a non seulement porté atteinte au crédit de l'établissement, mais il a en même temps jeté sur ses collègues du Conseil d'administration la suspicion d'irrégularités graves et systématiques, voire de malversations répétées, qui n'ont pas été établies par la suite. Il est allé jusqu'à demander la révocation de tous les membres de ce même conseil dans le but, selon lui, de mettre fin à un système de «copinage» qui, à ses yeux, privilégiait les intérêts financiers au détriment des impératifs de santé publique (voir en particulier ses affirmations - non étayées - sur une prévalence accrue des cancers à Genève qu'il attribuait à la politique des SIG en matière d'incinération des déchets). Il a fait état de manière plus ou moins explicite d'une connivence inadmissible du Conseil d'Etat ou du moins de certains de ses membres avec les organes dirigeants des SIG (voir notamment son interpellation à propos des squatters). Il n'a pas non plus utilisé ou épuisé les voies internes, que ce soit au sein du Conseil d'administration ou dans le cadre de la surveillance exercée par le Conseil d'Etat. Sans attendre les réponses aux questions qu'il posait au président du Conseil d'administration, il a déposé des interpellations urgentes devant le Grand Conseil dans le but manifeste d'amorcer à chaque fois la polémique, comme en témoigne d'ailleurs le ton utilisé dans l'intitulé de ses interventions. Il ressort également des constatations du jugement attaqué qu'il n'a pas rétabli la vérité lorsque ses accusations se sont révélées fausses (prétendue illégalité du montant de 100 millions de francs versé à EOS et du montant de 74 millions de francs versé à Gaznat SA; dépenses de dix millions de francs en frais divers dans le programme «Eco 21», alors qu'il s'agissait en réalité de 1'800'000 fr.). Enfin, la divulgation de son échange de courriels avec la Présidence du conseil sur son blog, de même que la révélation, à la commission de l'énergie du Grand Conseil du contenu des débats tenus par le Conseil d'administration lors de la séance du 16 octobre 2008 et de la teneur des documents confidentiels produits par C.________ à cette occasion apparaissent pour le moins problématiques sous l'angle du secret de fonction auquel était astreint le recourant. Il ressort en outre des constatations du jugement attaqué que le recourant a été informé de ses devoirs lors de son entrée en fonction. Son attention a par la suite été attirée sur le fait qu'il était soumis, dans le cadre de son mandat, au secret de fonction. Maintes fois, le Conseil d'administration et le Conseil d'Etat ont tenté de le rappeler à ses devoirs. Malgré ces rappels, le recourant n'a pas modifié son comportement; bien au contraire, il a affirmé vouloir persister dans son attitude.</w:t>
      </w:r>
    </w:p>
    <w:p>
      <w:r>
        <w:rPr>
          <w:b/>
        </w:rPr>
        <w:t>E. 4.5.4</w:t>
      </w:r>
    </w:p>
    <w:p>
      <w:r>
        <w:t>Dans ces circonstances, la mesure prise n'apparaît pas arbitraire et, partant, n'est pas manifestement contraire au principe de proportionnalité.</w:t>
      </w:r>
    </w:p>
    <w:p>
      <w:r>
        <w:rPr>
          <w:b/>
        </w:rPr>
        <w:t>E. 4.5.5</w:t>
      </w:r>
    </w:p>
    <w:p>
      <w:r>
        <w:t>On peut encore ajouter que le recourant n'a invoqué, l'interdiction de l'arbitraire mise à part, aucune autre norme ou principe de droit constitutionnel. Il n'y a donc pas lieu d'examiner son cas à l'aune de l'arrêt 8C_1065/2009 du 31 août 2010, dans lequel le Tribunal fédéral a jugé que l'avertissement infligé à l'encontre d'un professeur chargé de cours dans une haute école zurichoise pour avoir distribué un tract aux membres du parlement cantonal constitue une restriction inadmissible du droit à la liberté d'expression consacré à l' art. 16 al. 2 Cst.</w:t>
      </w:r>
    </w:p>
    <w:p>
      <w:r>
        <w:rPr>
          <w:b/>
        </w:rPr>
        <w:t>E. 5</w:t>
      </w:r>
    </w:p>
    <w:p>
      <w:r>
        <w:t>De ce qui précède, il résulte que le recours est mal fondé. Vu l'issue du litige, les frais de justice doivent être supportés par le recourant, qui succombe (art. 66 al. 1, 1ère phrase, LTF). Ils sont fixés en application de l' art. 65 al. 4 let . c LTF, car la valeur litigieuse ne dépasse pas 30'000 fr. Bien qu'obtenant gain de cause, le canton n'a pas droit à des dépens (arrêt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