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8C_21/2015 vom 3. März 2015</w:t>
      </w:r>
    </w:p>
    <w:p>
      <w:r>
        <w:t>Bundesgericht, 2015-03-03, DE</w:t>
      </w:r>
    </w:p>
    <w:p>
      <w:r>
        <w:rPr>
          <w:b/>
        </w:rPr>
        <w:t xml:space="preserve">Quelle: </w:t>
      </w:r>
      <w:r>
        <w:t>https://mcp.opencaselaw.ch/entscheid/bger_8C_21_2015</w:t>
      </w:r>
    </w:p>
    <w:p>
      <w:r>
        <w:t>FR: TF 8C_21/2015 du 3 mars 2015</w:t>
      </w:r>
    </w:p>
    <w:p>
      <w:r>
        <w:t>IT: TF 8C_21/2015 del 3 marzo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 Die konkrete Beweiswürdigung ist Sachverhaltsfrage (nicht publ. E. 4.1 des Urteils BGE 135 V 254 , veröffentlicht in SVR 2009 IV Nr. 53 S. 164 [9C_204/2009]).</w:t>
      </w:r>
    </w:p>
    <w:p>
      <w:r>
        <w:rPr>
          <w:b/>
        </w:rPr>
        <w:t>E. 2</w:t>
      </w:r>
    </w:p>
    <w:p>
      <w:r>
        <w:t>Die Vorinstanz hat die Grundlagen über die Pflicht der versicherten Person, alles Zumutbare zu unternehmen, um Arbeitslosigkeit zu vermeiden oder zu verkürzen ( Art. 17 Abs. 1 AVIG ), die Einstellung in der Anspruchsberechtigung bei ungenügenden persönlichen Arbeitsbemühungen ( Art. 30 Abs. 1 lit. c AVIG ) sowie die verschuldens-abhängige Dauer der Einstellung ( Art. 30 Abs. 3 AVIG ; Art. 45 Abs. 3 AVIV ) richtig dargelegt. Gleiches gilt betreffend den Anspruch auf rechtliches Gehör ( Art. 29 Abs. 2 BV ; Art. 42 ATSG ). Darauf wird verwiesen.</w:t>
      </w:r>
    </w:p>
    <w:p>
      <w:r>
        <w:rPr>
          <w:b/>
        </w:rPr>
        <w:t>E. 3.1</w:t>
      </w:r>
    </w:p>
    <w:p>
      <w:r>
        <w:t>Der Versicherte rügt eine Verletzung des Anspruchs auf rechtliches Gehör. Vor Erlass der Verfügung vom 23. Januar 2013 sei ihm nicht die Möglichkeit gewährt worden, an der Feststellung des Sachverhalts mitzuwirken. Am 16. Januar 2013 sei ihm lediglich eine Mitteilung des Regionalen Arbeitsvermittlungszentrums zugestellt worden, wonach seine Arbeitsbemühungen beanstandet würden. Darin sei er aber nicht aufgefordert worden, sich hierzu innert einer Frist zu äussern; folglich hätte er bis 22. Januar 2013 unaufgefordert Stellung nehmen müssen. Weiter seien gegen ihn im Einspracheentscheid vom 6. März 2013 neue, in der Verfügung nicht enthaltene Vorwürfe erhoben worden, ohne dass er dazu vorgängig habe Stellung nehmen können.</w:t>
      </w:r>
    </w:p>
    <w:p>
      <w:r>
        <w:t>Diesbezüglich hat die Vorinstanz zutreffend erkannt, dass die Parteien nicht angehört werden müssen vor Verfügungen, die - wie hier - durch Einsprache anfechtbar sind ( Art. 42 ATSG ). Im Einspracheverfahren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Der Einspracheentscheid tritt an die Stelle der Verfügung ( BGE 131 V 407 E. 2.1.2.1 S. 412; SVR 2013 UV Nr. 9 S. 29 E. 3.2 [8C_592/2012]). Unbehelflich ist der Einwand des Versicherten, im Einspracheentscheid vom 6. März 2013 seien neue Vorwürfe gegen ihn erhoben worden, zumal er nicht substanziiert vorbringt, inwiefern Umstände vorgelegen hätten, die einer Abklärung oder Anhörung vor dem Erlass des Einspracheentscheides bedurft hätten. Im Übrigen ist der Vorinstanz beizupflichten, dass der Einspracheentscheid hinreichend begründet ist (zur Begründungspflicht vgl. BGE 138 I 232 E. 5.1 S. 237, 126 V 75 E. 5b/dd S. 80; Urteil 8C_611/2013 vom 21. November 2013 E. 2.2).</w:t>
      </w:r>
    </w:p>
    <w:p>
      <w:r>
        <w:rPr>
          <w:b/>
        </w:rPr>
        <w:t>E. 3.2</w:t>
      </w:r>
    </w:p>
    <w:p>
      <w:r>
        <w:t>Der Versicherte wendet ein, der vorinstanzliche Entscheid sei ungenügend begründet, weil darin nicht zu den von ihm beschwerdeweise angeführten Urteil C 279/03 vom 30. September 2005 und auch nicht zum Urteil C 228/06 vom 12. Januar 2007 Stellung genommen worden sei, wonach sowohl im Verfügungs- als auch im Einspracheverfahren die zusätzlichen Sachverhaltsabklärungen unter Mitwirkung der versicherten Person vorzunehmen seien. Die Verpflichtung des Gerichts, seinen Entscheid zu begründen, erfordert nicht, dass es sich mit allen Parteistandpunkten einlässlich auseinandersetzt. Viel mehr kann es sich auf die für seinen Entscheid wesentlichen Punkte beschränken ( BGE 136 I 229 E. 5.2 S. 236). Die Begründungspflicht soll den Anspruch der Partei auf eine sachbezogene Begründung gewährleisten. Sie ist erfüllt, wenn der Betroffene die entsprechenden Erwägungen sachgerecht anfechten kann. Dies ist hier der Fall.</w:t>
      </w:r>
    </w:p>
    <w:p>
      <w:r>
        <w:rPr>
          <w:b/>
        </w:rPr>
        <w:t>E. 3.3</w:t>
      </w:r>
    </w:p>
    <w:p>
      <w:r>
        <w:t>Der Versicherte macht geltend, er habe viele Suchbemühungen in Jobportals im Internet und im privaten Umfeld unternommen, doch nicht aus jeder dieser Suchbemühungen habe eine schriftliche Bewerbung resultiert. Suchbemühungen auf Jobportals, im Internet oder in Tageszeitungen liessen sich heute nicht mehr schlüssig belegen. Hierbei handelt es sich um vorinstanzlich nicht vorgebrachte und damit neue Tatsachen. Sie sind unbeachtlich, da der Versicherte keine nach Art. 99 Abs. 1 BGG relevanten Gründe geltend macht (hierzu vgl. nicht publ. E. 1.3 des Urteils BGE 138 V 286 , in SVR 2012 FZ Nr. 3 S. 7 [8C_690/2011]).</w:t>
      </w:r>
    </w:p>
    <w:p>
      <w:r>
        <w:rPr>
          <w:b/>
        </w:rPr>
        <w:t>E. 3.4</w:t>
      </w:r>
    </w:p>
    <w:p>
      <w:r>
        <w:t>Nicht stichhaltig ist der Einwand des Versicherten, er habe den Monat Oktober 2012 für Urlaub verwendet. Denn er hatte sich auch während den Ferien, sei es im Ausland oder in der Schweiz, um Stellen zu bemühen. Die Ortsabwesenheit entbindet nämlich nicht von dieser Pflicht, zumal es mit den heutigen Kommunikationsmitteln (Internet, E-Mail etc.) und Personalvermittlungsagenturen ohne weiteres möglich und zumutbar ist, sich für eine neue Arbeitsstelle zu bewerben (Urteil C 275/05 vom 6. November 2006 E. 3.2). Soweit der Versicherte bemängelt, die Vorinstanz habe zu dieser Rüge nicht Stellung genommen, ist von einer Rückweisung an sie aus dem in      E. 3.2 hievor angeführten Grund abzusehen.</w:t>
      </w:r>
    </w:p>
    <w:p>
      <w:r>
        <w:rPr>
          <w:b/>
        </w:rPr>
        <w:t>E. 3.5</w:t>
      </w:r>
    </w:p>
    <w:p>
      <w:r>
        <w:t>Der Versicherte bringt vor, es gehe um Arbeitsbemühungen vor seiner Anmeldung bei der Arbeitslosenkasse, also in einer Zeit, in der er noch keine Betreuung und Beratung durch sie erhalten habe. Die notwendige Anzahl schriftlicher Bewerbungen sollte in einer Vorschrift umschrieben sein. Dem ist entgegenzuhalten, dass die versicherte Person auf Grund der Schadenminderungspflicht (vgl. BGE 138 V 457 E. 3.2 S. 461) selbst alles Zumutbare zu unternehmen hat, um Arbeitslosigkeit zu vermeiden oder zu verkürzen. Wie in den übrigen Zweigen der Sozialversicherung hat sie auch bei der Arbeitslosenversicherung ihr Möglichstes zur Schadenminderung von sich aus, d.h. ohne besondere Aufforderung durch eine Amtsstelle oder Abgabe eines Merkblattes, vorzukehren (ARV 1980 Nr. 44 S. 109; Urteil         C 199/05 vom 29. September 2005 E. 2.2). Sie hat sich bereits während der Kündigungsfrist und vor ihrer Anmeldung bei der Arbeitslosenversicherung unaufgefordert um Stellen zu bemühen (vgl. BGE 139 V 524 E. 4.2 S. 530 f.; ARV 2005 Nr. 4 S. 56 E. 3.1 [C 208/03]; Urteil 8C_917/2013 vom 4. März 2014 E. 2.1).</w:t>
      </w:r>
    </w:p>
    <w:p>
      <w:r>
        <w:rPr>
          <w:b/>
        </w:rPr>
        <w:t>E. 3.6</w:t>
      </w:r>
    </w:p>
    <w:p>
      <w:r>
        <w:t>Schliesslich hat die Vorinstanz zu Recht erkannt, dass das vom Versicherten mit der ehemaligen Arbeitgeberin vereinbarte sechsmonatige Konkurrenzverbot und der Umstand, dass er sich im September 2012 noch zu ihrer Verfügung halten musste, ihn nicht entlastet.</w:t>
      </w:r>
    </w:p>
    <w:p>
      <w:r>
        <w:rPr>
          <w:b/>
        </w:rPr>
        <w:t>E. 4</w:t>
      </w:r>
    </w:p>
    <w:p>
      <w:r>
        <w:t>Die Einstellungsdauer von sieben Tagen beanstandet der Versicherte nicht, weshalb sich diesbezüglich Weiterungen erübrigen.</w:t>
      </w:r>
    </w:p>
    <w:p>
      <w:r>
        <w:rPr>
          <w:b/>
        </w:rPr>
        <w:t>E. 5</w:t>
      </w:r>
    </w:p>
    <w:p>
      <w:r>
        <w:t>Da die Beschwerde offensichtlich unbegründet ist, wird das Verfahren nach Art. 109 Abs. 2 lit. a BGG angewendet. Der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