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8C_21/2012 vom 27. März 2012</w:t>
      </w:r>
    </w:p>
    <w:p>
      <w:r>
        <w:t>Bundesgericht, 2012-03-27, DE</w:t>
      </w:r>
    </w:p>
    <w:p>
      <w:r>
        <w:rPr>
          <w:b/>
        </w:rPr>
        <w:t xml:space="preserve">Quelle: </w:t>
      </w:r>
      <w:r>
        <w:t>https://mcp.opencaselaw.ch/entscheid/bger_8C_21_2012</w:t>
      </w:r>
    </w:p>
    <w:p>
      <w:r>
        <w:t>FR: TF 8C_21/2012 du 27 mars 2012</w:t>
      </w:r>
    </w:p>
    <w:p>
      <w:r>
        <w:t>IT: TF 8C_21/2012 del 27 marzo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dem Beschwerdeführer eine höhere als die zugesprochene 39%ige Invalidenrente der Unfallversicherung zusteht. Nicht länger zum Streitgegenstand gehört demgegenüber die Höhe der Integritätsentschädigung.</w:t>
      </w:r>
    </w:p>
    <w:p>
      <w:r>
        <w:rPr>
          <w:b/>
        </w:rPr>
        <w:t>E. 3.1</w:t>
      </w:r>
    </w:p>
    <w:p>
      <w:r>
        <w:t>Ist der Versicherte infolge des Unfalles zu mindestens 10 Prozent invalid, so hat er gemäss Art. 19 Abs. 1 UVG Anspruch auf eine Invalidenrente. Invalidität ist nach Art. 8 Abs. 1 ATSG die voraussichtlich bleibende oder längere Zeit dauernde ganze oder teilweise Erwerbsunfähigkeit. Art. 7 Abs. 1 ATSG definiert die Erwerbsunfähigkeit als den durch Beeinträchtigung der körperlichen, geistigen oder psychischen Gesundheit verursachte und nach zumutbarer Behandlung und Eingliederung verbleibende ganze oder teilweise Verlust der Erwerbsmöglichkeiten auf dem in Betracht kommenden ausgeglichenen Arbeitsmarkt.</w:t>
      </w:r>
    </w:p>
    <w:p>
      <w:r>
        <w:rPr>
          <w:b/>
        </w:rPr>
        <w:t>E. 3.2</w:t>
      </w:r>
    </w:p>
    <w:p>
      <w:r>
        <w:t>Es steht fest und ist unbestritten, dass der Versicherte als Folge der beiden Unfälle nicht länger in der Lage ist, seiner angestammten Tätigkeit als Hilfsheizungsmonteur nachzugehen. Unterschiedliche Stellungnahmen liegen demgegenüber bezüglich der verbleibenden Arbeitsfähigkeit in einer angepassten Tätigkeit vor: Während Dr. med. E.________ in seinem Gutachten vom 30. Oktober 2009 davon ausgeht, der Versicherte könne in einer leidensangepassten Tätigkeit vollzeitlich erwerbstätig sein, postulieren die Experten der MEDAS, Spital X.________, in ihrem Gutachten vom 15. September 2010 eine Arbeitsfähigkeit von sechs Stunden pro Tag. Die SUVA bestimmte in ihrer Verfügung vom 1. April 2010 den Invaliditätsgrad zunächst ausgehend von der Einschätzung des Dr. med. E.________, bemass ihn - nach Vorliegen des zweiten Gutachtens - im Einspracheentscheid vom 16. Februar 2011 aufgrund des Mittelwertes der beiden Gutachten, mithin auf einer Erwerbsfähigkeit von 86 % in einer angepassten Tätigkeit basierend. Die Vorinstanz bestätigte daraufhin den Einspracheentscheid der SUVA.</w:t>
      </w:r>
    </w:p>
    <w:p>
      <w:r>
        <w:rPr>
          <w:b/>
        </w:rPr>
        <w:t>E. 3.3</w:t>
      </w:r>
    </w:p>
    <w:p>
      <w:r>
        <w:t>Im Sozialversicherungsprozess hat das Gericht seinen Entscheid auf jenen Sachverhalt zu stützen, welchen es für den wahrscheinlichsten hält. Aus allen geltend gemachten und vorstellbaren Fakten hat es diejenigen auszuwählen, welche ihm als die wahrscheinlichsten erscheinen ( BGE 125 V 193 E. 2 S. 195). Liegen zwei sich widersprechende, beweiswertige Gutachten zur Arbeitsfähigkeit vor, so kann demgemäss nicht bloss auf deren Mittelwert abgestellt werden. Das Gericht hat die aufgelegten Expertisen vielmehr zu würdigen und auf jene abzustellen, welche es für überzeugender hält. Sollte auf dem Wege der Beweiswürdigung der Gutachten kein Sachverhalt wahrscheinlicher als der andere erscheinen, so hat das Gericht ein Obergutachten einzuholen. Von einem solchen könnte nur dann abgesehen werden, wenn durch dieses keine bessere Erkenntnis der Sachlage mehr zu erwarten wäre. Diesfalls wäre über die Streitsache gemäss den Regeln zur Beweislastverteilung zu entscheiden (vgl. BGE 117 V 261 E. 3b S. 264).</w:t>
      </w:r>
    </w:p>
    <w:p>
      <w:r>
        <w:rPr>
          <w:b/>
        </w:rPr>
        <w:t>E. 3.4</w:t>
      </w:r>
    </w:p>
    <w:p>
      <w:r>
        <w:t>Wie das kantonale Gericht zutreffend erwogen hat, entspricht sowohl das Gutachten des Dr. med. E.________ vom 30. Oktober 2009 als auch jenes der MEDAS, Spital X.________, vom 15. September 2010 den Anforderungen der Rechtsprechung (vgl. BGE 134 V 231 E. 5.1 S. 232). Keines der beiden Gutachten erscheint überzeugender als das andere. Weshalb indessen von weiteren Abklärungen, insbesondere von der Einholung eines Obergutachtens kein Erkenntnisgewinn mehr zu erwarten wäre, ist nicht ersichtlich und wird von der Vorinstanz auch nicht begründet. Der kantonale Gerichtsentscheid ist demgemäss aufzuheben und die Sache ist an die Vorinstanz zurückzuweisen, damit diese nach Einholung eines Obergutachtens über die Beschwerde des Versicherten gegen den Einspracheentscheid der SUVA neu entscheide. Da nur die versicherte Person gegen den kantonalen Gerichtsentscheid Beschwerde erhoben hat, wird die Vorinstanz hiebei Art. 107 Abs. 1 BGG zu beachten haben, wonach die versicherte Person nicht schlechter als durch den aufgehobenen kantonalen Gerichtsentscheid gestellt werden darf (vgl. BGE 137 V 314 E. 3.2.4 S. 320).</w:t>
      </w:r>
    </w:p>
    <w:p>
      <w:r>
        <w:rPr>
          <w:b/>
        </w:rPr>
        <w:t>E. 4</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86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Dem obsiegenden, anwaltlich vertretenen Beschwerdeführer steht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