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8C_219/2025 vom 6. Mai 2025</w:t>
      </w:r>
    </w:p>
    <w:p>
      <w:r>
        <w:t>Bundesgericht, 2025-05-06, FR</w:t>
      </w:r>
    </w:p>
    <w:p>
      <w:r>
        <w:rPr>
          <w:b/>
        </w:rPr>
        <w:t xml:space="preserve">Quelle: </w:t>
      </w:r>
      <w:r>
        <w:t>https://mcp.opencaselaw.ch/entscheid/bger_8C_219_2025</w:t>
      </w:r>
    </w:p>
    <w:p>
      <w:r>
        <w:t>FR: TF 8C_219/2025 du 6 mai 2025</w:t>
      </w:r>
    </w:p>
    <w:p>
      <w:r>
        <w:t>IT: TF 8C_219/2025 del 6 maggio 2025</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2.2</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w:t>
      </w:r>
    </w:p>
    <w:p>
      <w:r>
        <w:t>L'arrêt attaqué repose sur la loi cantonale du 22 mars 2007 sur l'insertion et l'aide sociale individuelle (LIASI; RS/GE J 4 04) en vigueur jusqu'au 31 décembre 2024 - et applicable au cas d'espèce -, en particulier sur l'art. 36 LIASI ("Prestations perçues indûment") et l'art. 42 LIASI, qui définit les conditions de la remise de l'obligation de rembourser.</w:t>
      </w:r>
    </w:p>
    <w:p>
      <w:r>
        <w:t>En ce qui concerne le premier point contesté, la remise du montant de 1'931 fr. 41 réclamé par l'intimé, la cour cantonale a relevé qu'elle avait déjà examiné cette question dans la procédure précédente (ATA/1421/2024). Cela étant, elle a exposé à nouveau que la recourante devait connaître le caractère subsidiaire de l'aide financière versée par l'intimé puisqu'elle s'était engagée à lui rembourser toute prestation perçue indûment. Or la recourante ne s'était pas conformée à cet engagement et avait fait preuve de négligence en utilisant le montant de 1'931 fr. 41 à d'autres fins. Par conséquent, elle ne remplissait pas la condition de la bonne foi et ne pouvait donc obtenir la remise de ce montant en application de l'art. 42 LIASI.</w:t>
      </w:r>
    </w:p>
    <w:p>
      <w:r>
        <w:t>S'agissant du second point contesté, la cour cantonale a constaté que la recourante avait reçu le 1er décembre 2023 sur son compte bancaire une rente de l'armée brésilienne d'un montant plus élevé que d'habitude (11'495.76 BRL soit 1'839 fr. 30), alors que le décompte d'aide financière du mois de janvier 2024 retenait un montant plus bas (7'958.46 BRL soit 1'432 fr. 50). La recourante avait reçu 406 fr. 80 en trop et l'intimé était donc fondé à lui en réclamer le remboursement en application de l'art. 36 LIASI.</w:t>
      </w:r>
    </w:p>
    <w:p>
      <w:r>
        <w:rPr>
          <w:b/>
        </w:rPr>
        <w:t>E. 4</w:t>
      </w:r>
    </w:p>
    <w:p>
      <w:r>
        <w:t>Dans la présente écriture, comme c'était déjà le cas dans la procédure précédente (cause 8C_734/2024), la recourante se borne à exprimer son désaccord avec le résultat de l'arrêt attaqué. Elle ne prend pas position sur la motivation de la cour cantonale ni n'explique en quoi celle-ci aurait versé dans l'arbitraire en constatant les faits ou en appliquant le droit cantonal. De plus, la recourante fait à nouveau référence à d'autres procédures qui n'ont rien à voir avec le litige porté devant le Tribunal fédéral.</w:t>
      </w:r>
    </w:p>
    <w:p>
      <w:r>
        <w:t>Partant, son recours doit être déclaré irrecevable.</w:t>
      </w:r>
    </w:p>
    <w:p>
      <w:r>
        <w:rPr>
          <w:b/>
        </w:rPr>
        <w:t>E. 5</w:t>
      </w:r>
    </w:p>
    <w:p>
      <w:r>
        <w:t>Au vu des circonstances, il convient de renoncer à la perception de frais judiciaires (art. 66 al. 1, 2e phrase, LTF). La requête d'assistance judiciaire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