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218/2012 vom 18. März 2013</w:t>
      </w:r>
    </w:p>
    <w:p>
      <w:r>
        <w:t>Bundesgericht, 2013-03-18, FR</w:t>
      </w:r>
    </w:p>
    <w:p>
      <w:r>
        <w:rPr>
          <w:b/>
        </w:rPr>
        <w:t xml:space="preserve">Quelle: </w:t>
      </w:r>
      <w:r>
        <w:t>https://mcp.opencaselaw.ch/entscheid/bger_8C_218_2012</w:t>
      </w:r>
    </w:p>
    <w:p>
      <w:r>
        <w:t>FR: TF 8C 218/2012 du 18 mars 2013</w:t>
      </w:r>
    </w:p>
    <w:p>
      <w:r>
        <w:t>IT: TF 8C 218/2012 del 18 marzo 2013</w:t>
      </w:r>
    </w:p>
    <w:p>
      <w:pPr>
        <w:pStyle w:val="Heading2"/>
      </w:pPr>
      <w:r>
        <w:t>Regeste</w:t>
      </w:r>
    </w:p>
    <w:p>
      <w:r>
        <w:t>Droit de la fonction publique (condition de recevabilité; question jurdique de principe; renchérissement) | Fonction publique</w:t>
      </w:r>
    </w:p>
    <w:p>
      <w:pPr>
        <w:pStyle w:val="Heading2"/>
      </w:pPr>
      <w:r>
        <w:t>Erwägungen</w:t>
      </w:r>
    </w:p>
    <w:p>
      <w:r>
        <w:rPr>
          <w:b/>
        </w:rPr>
        <w:t>E. 1</w:t>
      </w:r>
    </w:p>
    <w:p>
      <w:r>
        <w:t>La présente cause est une contestation en matière de rapports de travail de droit public, qui porte sur une contestation pécuniaire et qui ne tombe pas sous le coup de l'exception de l' art. 83 let . g LTF. En matière pécuniaire, le recours n'est en principe recevable que si la valeur litigieuse atteint 15'000 fr. ( art. 85 al. 1 let. b LTF ). En l'espèce, comme l'allègue le recourant lui-même, la valeur litigieuse s'élève à 630 fr. et n'atteint donc de loin pas le seuil requis.</w:t>
      </w:r>
    </w:p>
    <w:p>
      <w:r>
        <w:rPr>
          <w:b/>
        </w:rPr>
        <w:t>E. 2.1</w:t>
      </w:r>
    </w:p>
    <w:p>
      <w:r>
        <w:t>Lorsque la valeur litigieuse est insuffisante, le recours est néanmoins recevable si la contestation soulève une question juridique de principe ( art. 85 al. 2 LTF ). Lorsque le recours n'est recevable qu'à cette condition, le recourant doit exposer en quoi l'affaire remplit cette exigence (art. 42 al. 2, 2ème phrase, LTF; ATF 134 III 267 consid. 1.2 p. 269; 133 III 439 consid. 2.2.2.1 p. 442).</w:t>
      </w:r>
    </w:p>
    <w:p>
      <w:r>
        <w:rPr>
          <w:b/>
        </w:rPr>
        <w:t>E. 2.2</w:t>
      </w:r>
    </w:p>
    <w:p>
      <w:r>
        <w:t>Le recourant soutient que la contestation soulève trois questions juridiques de principe, à savoir celle de la compétence pour décider de l'octroi d'une compensation du renchérissement dans le domaine des EPF, celle de l'existence d'une base légale permettant d'exclure certaines catégories d'employés de la compensation du renchérissement et, enfin, celle de la nature de l'OPers-EPF ainsi que de l'interprétation de son art. 28 qui traite de l'adaptation de l'échelle des salaires. Il souligne que le recours constitutionnel subsidiaire n'est pas ouvert contre les arrêts du Tribunal administratif fédéral ( art. 113 LTF ).</w:t>
      </w:r>
    </w:p>
    <w:p>
      <w:r>
        <w:rPr>
          <w:b/>
        </w:rPr>
        <w:t>E. 2.3</w:t>
      </w:r>
    </w:p>
    <w:p>
      <w:r>
        <w:t>De son côté, l'intimée relève qu'en raison de l'entrée en vigueur, le 1er janvier 2008, de la nouvelle politique salariale pour les assistants-doctorants, il n'y aura plus aucun autre cas de droit transitoire, un tel collaborateur ne pouvant pas être engagé pour plus de six ans.</w:t>
      </w:r>
    </w:p>
    <w:p>
      <w:r>
        <w:rPr>
          <w:b/>
        </w:rPr>
        <w:t>E. 3.1</w:t>
      </w:r>
    </w:p>
    <w:p>
      <w:r>
        <w:t>La jurisprudence a souligné qu'il fallait se montrer restrictif dans l'admission d'une dérogation à l'exigence de la valeur litigieuse sur la base de l' art. 74 al. 2 let. a LTF , respectivement de l' art. 85 al. 2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 Il faut, en outre, que l'exigence de la valeur minimale rende très faible la probabilité que le Tribunal fédéral puisse un jour se saisir de la question ( ATF 134 III 267 consid. 1.2.3 p. 270 s.). Si la question se rapporte à une norme de droit cantonal que le Tribunal fédéral ne peut pas revoir librement, celui-ci ne saurait rendre une décision de principe (cf. arrêt 1C_58/2008 du 7 mai 2009 consid. 1.2). Si son pouvoir d'examen est limité à la violation des droits constitutionnels, il suffit, en effet, que le recourant interjette un recours constitutionnel subsidiaire et une dérogation à l'exigence de la valeur litigieuse ne se justifie pas ( ATF 134 I 184 consid. 1.3 p. 187; arrêts 4A_517/2009 du 4 janvier 2010 consid. 1.3.1, 4A_64/2008 du 27 mai 2008 consid. 1.1; BERNARD CORBOZ, in Commentaire de la LTF, 2009, no 36 ad art. 74 LTF ).</w:t>
      </w:r>
    </w:p>
    <w:p>
      <w:r>
        <w:rPr>
          <w:b/>
        </w:rPr>
        <w:t>E. 3.2</w:t>
      </w:r>
    </w:p>
    <w:p>
      <w:r>
        <w:t>En l'occurrence, l'objet du litige, à savoir le droit du recourant à l'allocation de compensation du renchérissement pour l'année 2009, est régi par des dispositions de droit fédéral. Le recours constitutionnel subsidiaire ( art. 113 LTF ) n'est pas ouvert contre les jugements du Tribunal administratif fédéral (arrêt 8C_102/2009 du 26 octobre 2010, consid. 2.3). Il y a par conséquent lieu d'examiner s'il est nécessaire, pour résoudre le cas d'espèce, de trancher une question juridique qui donne lieu à une incertitude caractérisée, laquelle appelle de manière pressante un éclaircissement de la part du Tribunal fédéral.</w:t>
      </w:r>
    </w:p>
    <w:p>
      <w:r>
        <w:rPr>
          <w:b/>
        </w:rPr>
        <w:t>E. 4.1</w:t>
      </w:r>
    </w:p>
    <w:p>
      <w:r>
        <w:t>Tout d'abord, on ne saurait suivre le recourant lorsqu'il affirme qu'il s'agit de répondre à la question de principe de savoir qui, des organes de l'EPFL, a la compétence de décider de l'octroi ou de la suppression de l'allocation de renchérissement aux employés. En effet, le Tribunal administratif fédéral a constaté que même si cette compétence ressortissait exclusivement au CEPF - ce que fait valoir le recourant -, l'intimée pouvait de tout façon s'appuyer sur la décision de cet organe (des 8 et 9 juillet 2009) dans laquelle celui-ci avait exprimé la volonté de ne pas accorder l'allocation pour la catégorie des assistants-doctorants de l'ancienne génération. La solution du litige ne dépend donc pas tant d'une question de compétence que d'une question matérielle.</w:t>
      </w:r>
    </w:p>
    <w:p>
      <w:r>
        <w:rPr>
          <w:b/>
        </w:rPr>
        <w:t>E. 4.2</w:t>
      </w:r>
    </w:p>
    <w:p>
      <w:r>
        <w:t>A cet égard, le recourant fait valoir une fausse interprétation, par les premiers juges, de la loi ( art. 16 et 37 LPers ) et des règles d'exécution de celle-ci ( art. 28 Opers-EPF ). En l'espèce, il faut rappeler que sont seules en cause des décisions déployant des effets pour les assistants-doctorants de l'ancienne génération dont fait partie le recourant. Il n'est pas contesté que les employés engagés à ce titre à partir du 1er janvier 2008 bénéficient d'un statut différent. Par ailleurs, le recourant ne remet pas en question l'affirmation de l'intimée selon laquelle la durée de l'engagement de ce type de collaborateurs ne peut dépasser six ans. Ainsi, le point de savoir si une certaine catégorie d'employés de l'intimée peut se voir refuser la compensation du renchérissement pour une année donnée n'est pas incertain de façon générale, mais il se limite, dans le cadre du présent litige, à une catégorie restreinte de collaborateurs. En outre, la probabilité qu'une telle problématique se présente à nouveau à l'avenir dans les mêmes termes est insignifiante, puisque la catégorie des employés concernés n'existe plus qu'à titre transitoire pour un temps très limité. Dans ces circonstances, on ne saurait prétendre que cette question appelle de manière pressante un éclaircissement de la part du Tribunal fédéral. Au demeurant, à supposer que la même question se pose de façon plus générale, mettant en cause un nombre important d'employés, l'accès au Tribunal fédéral ne serait alors pas limité par la condition de la valeur litigieuse minimale, soit que la procédure concerne des employés engagés en vertu d'un contrat à durée indéterminée, soit que le seuil puisse en être atteint par une éventuelle addition des conclusions de plusieurs recourants (voir ATF 138 I 232 consid. 1.3 p. 235, avec la référence à l' ATF 116 II 587 consid. 1 p. 589). Mais dans le contexte du présent litige, cette question ne justifie pas une dérogation au sens de l' art. 85 al. 2 LTF . Le recours en matière de droit public doit par conséquent être déclaré irrecevable.</w:t>
      </w:r>
    </w:p>
    <w:p>
      <w:r>
        <w:rPr>
          <w:b/>
        </w:rPr>
        <w:t>E. 5</w:t>
      </w:r>
    </w:p>
    <w:p>
      <w:r>
        <w:t>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