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8C_217/2022 vom 18. Mai 2022</w:t>
      </w:r>
    </w:p>
    <w:p>
      <w:r>
        <w:t>Bundesgericht, 2022-05-18, DE</w:t>
      </w:r>
    </w:p>
    <w:p>
      <w:r>
        <w:rPr>
          <w:b/>
        </w:rPr>
        <w:t xml:space="preserve">Quelle: </w:t>
      </w:r>
      <w:r>
        <w:t>https://mcp.opencaselaw.ch/entscheid/bger_8C_217_2022</w:t>
      </w:r>
    </w:p>
    <w:p>
      <w:r>
        <w:t>FR: TF 8C_217/2022 du 18 mai 2022</w:t>
      </w:r>
    </w:p>
    <w:p>
      <w:r>
        <w:t>IT: TF 8C_217/2022 del 18 maggio 2022</w:t>
      </w:r>
    </w:p>
    <w:p>
      <w:pPr>
        <w:pStyle w:val="Heading2"/>
      </w:pPr>
      <w:r>
        <w:t>Erwägungen</w:t>
      </w:r>
    </w:p>
    <w:p>
      <w:r>
        <w:rPr>
          <w:b/>
        </w:rPr>
        <w:t>E. 1</w:t>
      </w:r>
    </w:p>
    <w:p>
      <w:r>
        <w:t>Am 1. April 2022 (Poststempel) wurde gegen das Urteil des Sozialversicherungsgerichts des Kantons Zürich vom 15. März 2022 Beschwerde erhoben.</w:t>
      </w:r>
    </w:p>
    <w:p>
      <w:r>
        <w:rPr>
          <w:b/>
        </w:rPr>
        <w:t>E. 2</w:t>
      </w:r>
    </w:p>
    <w:p>
      <w:r>
        <w:t>Am 28. April 2022 (Poststempel) reichte A.________ die gleichlautende Beschwerde nochmals ein mit der zusätzlichen Bemerkung, er sei auf das Geld angewiesen und warte auf die Entscheidung.</w:t>
      </w:r>
    </w:p>
    <w:p>
      <w:r>
        <w:rPr>
          <w:b/>
        </w:rPr>
        <w:t>E. 3</w:t>
      </w:r>
    </w:p>
    <w:p>
      <w:r>
        <w:t>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4</w:t>
      </w:r>
    </w:p>
    <w:p>
      <w:r>
        <w:t>Das kantonale Gericht legte im angefochtenen Urteil in Auseinandersetzung mit den Parteivorbringen und in Würdigung der Akten ausführlich dar, aus welchen Gründen der Beschwerdeführer den Tatbestand der Nichtannahme einer zumutbaren Stelle gemäss Art. 30 Abs. 1 lit. d AVIG erfülle und die Einstellung in der Anspruchsberechtigung - in teilweiser Gutheissung der Beschwerde - von 15 auf 14 Einstelltage zu korrigieren sei.</w:t>
      </w:r>
    </w:p>
    <w:p>
      <w:r>
        <w:rPr>
          <w:b/>
        </w:rPr>
        <w:t>E. 5</w:t>
      </w:r>
    </w:p>
    <w:p>
      <w:r>
        <w:t>Der Beschwerdeführer beschränkt sich in seinen letztinstanzlichen Eingaben vom 1. und 28. April 2022 im Wesentlichen auf eine Wiederholung des bereits vor dem kantonalen Gericht Vorgebrachten. Er beschäftigt sich nicht mit den für das Ergebnis des angefochtenen Urteils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w:t>
      </w:r>
    </w:p>
    <w:p>
      <w:r>
        <w:rPr>
          <w:b/>
        </w:rPr>
        <w:t>E. 6</w:t>
      </w:r>
    </w:p>
    <w:p>
      <w:r>
        <w:t>Da er folglich den Mindestanforderungen an die Beschwerdebegründung in keiner Weise zu genügen vermag, ist im vereinfachten Verfahren nach Art. 108 Abs. 1 lit. b BGG auf das Rechtsmittel nicht einzutreten.</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