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217/2015 vom 28. August 2015</w:t>
      </w:r>
    </w:p>
    <w:p>
      <w:r>
        <w:t>Bundesgericht, 2015-08-28, DE</w:t>
      </w:r>
    </w:p>
    <w:p>
      <w:r>
        <w:rPr>
          <w:b/>
        </w:rPr>
        <w:t xml:space="preserve">Quelle: </w:t>
      </w:r>
      <w:r>
        <w:t>https://mcp.opencaselaw.ch/entscheid/bger_8C_217_2015</w:t>
      </w:r>
    </w:p>
    <w:p>
      <w:r>
        <w:t>FR: TF 8C 217/2015 du 28 août 2015</w:t>
      </w:r>
    </w:p>
    <w:p>
      <w:r>
        <w:t>IT: TF 8C 217/2015 del 28 agosto 2015</w:t>
      </w:r>
    </w:p>
    <w:p>
      <w:pPr>
        <w:pStyle w:val="Heading2"/>
      </w:pPr>
      <w:r>
        <w:t>Regeste</w:t>
      </w:r>
    </w:p>
    <w:p>
      <w:r>
        <w:t>Unfallversicherung (Invalidenrente; Invalideneinkommen)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das der Bestimmung des Invaliditätsgrades gemäss Art. 16 ATSG zugrunde zu legende, hier anhand der standardisierten Bruttolöhne der Schweizerischen Lohnstrukturerhebung des Bundesamtes für Statistik (LSE) festzulegende Erwerbseinkommen, das der Versicherte nach Eintritt der Invalidität und nach Durchführung der medizinischen Behandlung durch eine ihm zumutbare Tätigkeit bei ausgeglichener Arbeitsmarktlage erzielen könnte. Prozessthema bildet dabei die Frage, ob und inwieweit der Beschwerdeführer die verbliebene Arbeitsfähigkeit auf dem ausgeglichenen Arbeitsmarkt zu verwerten vermöchte.</w:t>
      </w:r>
    </w:p>
    <w:p>
      <w:r>
        <w:rPr>
          <w:b/>
        </w:rPr>
        <w:t>E. 2.2.1</w:t>
      </w:r>
    </w:p>
    <w:p>
      <w:r>
        <w:t>Gemäss der vom kantonalen Gericht angerufenen Praxis (vgl. auch Urteile 9C_396/2014 vom 15. April 2015 E. 5.2 sowie 8C_1050/2009 vom 28. April 2010 E. 3.4, je mit Hinweisen) stellen die faktische Einhändigkeit oder die Beschränkung der dominanten Hand als Zudienhand Tatbestände einer erheblich erschwerten Verwertbarkeit der Arbeitsfähigkeit auch in Bezug auf den zu unterstellenden, ausgeglichen Arbeitsmarkt dar. Dennoch wurde von der Rechtsprechung wiederholt bestätigt, dass auf dem ausgeglichenen Arbeitsmarkt genügend realistische Betätigungsmöglichkeiten für Personen, die funktionell als Einarmige zu betrachten sind und überdies nur noch leichte Arbeiten verrichten können, zu finden sind.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Zu denken ist an einfache Überwachungs-, Prüf- und Kontrolltätigkeiten sowie an die Bedienung von (halb-) automatischen Maschinen oder Produktionseinheiten, die keinen Einsatz des nicht mehr funktionstüchtigen Armes oder der nicht mehr einsetzbaren Hand voraussetzen (Urteile 8C_94/2012 vom 29. März 2012 E. 3.2 mit Hinweisen und 8C_525/2010 vom 21. September 2010 E. 3.2.2.2).</w:t>
      </w:r>
    </w:p>
    <w:p>
      <w:r>
        <w:rPr>
          <w:b/>
        </w:rPr>
        <w:t>E. 2.2.2</w:t>
      </w:r>
    </w:p>
    <w:p>
      <w:r>
        <w:t>Die Vorinstanz hat weiter erkannt, dass dem Versicherten gemäss dem unbestritten voll beweiskräftigen Gutachten des Prof. Dr. med. G.________ vom 31. Oktober 2012 jegliche leichte Tätigkeit ohne Einsatz der linken Hand bzw. des linken Armes zeitlich und leistungsmässig uneingeschränkt zumutbar sei. Der Versicherte übersehe mit seinen Vorbringen, dass zur Beurteilung der Erwerbsfähigkeit nach Art. 7 und 8 ATSG nicht auf die Verhältnisse des konkreten bzw. aktuellen Arbeitsmarktes, sondern auf einen "ausgeglichenen Arbeitsmarkt" abzustellen sei. Die Ergebnisse der X.________ (Bericht vom 22. November 2011), sowie der Werkstätten K.________, Geschützte Arbeitsplätze, Berufliche Rehabilitation, (Berichte vom 16. Juli 2013 und 27. März 2014), seien wenig aussagekräftig. Dort habe der Versicherte vor allem Verpackungsarbeiten ausführen müssen, welche dem von Prof. Dr. med. G.________ geschilderten Zumutbarkeitsprofil offensichtlich nicht entsprochen hätten. Sodann sei aufgrund des Umstands, dass nicht einmal der Versuch einer zeitlichen Erhöhung des Pensums im geschützten Rahmen unternommen worden sei, davon auszugehen, der Versicherte habe die ihm zumutbare Arbeitsleistung selber bestimmt. Schliesslich bezögen sich die Abklärungspersonen der genannten Organisationen hinsichtlich der Frage, inwieweit der Versicherte wieder eingegliedert werden könne, auf den konkret bzw. aktuell bestehenden Arbeitsmarkt. Diese Auskünfte liessen daher den Schluss nicht zu, dass der Versicherte die verbliebene Arbeitsfähigkeit auf dem ausgeglichenen Arbeitsmarkt gar nicht mehr oder höchstens zu einem Pensum von 2 1/2 Stunden täglich zu verwerten vermöchte. Insgesamt erübrigten sich unter diesen Umständen weitergehende Abklärungen sowohl in medizinischer als auch in erwerblicher/berufspraktischer Hinsicht.</w:t>
      </w:r>
    </w:p>
    <w:p>
      <w:r>
        <w:rPr>
          <w:b/>
        </w:rPr>
        <w:t>E. 2.2.3</w:t>
      </w:r>
    </w:p>
    <w:p>
      <w:r>
        <w:t>Was der Beschwerdeführer in Wiederholung der im kantonalen Verfahren vorgebrachten Einwände geltend macht, dringt nicht durch. Zur Verdeutlichung der nicht zu beanstandenden Erwägungen im angefochtenen Entscheid ist die Rechtsprechung zu erwähnen, wonach bei zuverlässiger ärztlicher Beurteilung der Arbeitsfähigkeit in der Regel keine Notwendigkeit besteht, die Rechtsfrage der Erwerbsunfähigkeit durch eine Evaluation der funktionellen Leistungsfähigkeit (EFL) zu überprüfen. Ausnahmsweise kann eine solche erforderlich sein, wenn mehrere involvierte Ärzte eine solche angesichts eines multiplen und schwierig einzuschätzenden Krankheitsbildes ausdrücklich befürworten (vgl. SVR 2009 IV Nr. 26 S. 73, 8C_547/2008 E. 4.2.1 f und SVR 2011 IV Nr. 6 S. 17, 9C_1035/2009 E. 4). So liegen die Verhältnisse hier nicht. Mit dem kantonalen Gericht ist darauf hinzuweisen, dass Prof. Dr. med. G.________ sich in abschliessender und dezidierter Weise zum Zumutbarkeitsprofil sowie zur Arbeitsfähigkeit in funktioneller und zeitlicher Hinsicht äusserte. Wäre er anderer Auffassung gewesen, hätte er zweifelsfrei eine ergänzende berufspraktische Fachabklärung veranlasst oder eine solche zumindest als Vorbedingung für eine definitive ärztliche Einschätzung erklärt. Mit Blick auf die vorinstanzlich zitierte Rechtsprechung zur Verwertbarkeit der verbliebenen Arbeitsfähigkeit von funktionell als einarmig zu betrachtenden Versicherten auf dem ausgeglichenen Arbeitsmarkt (vgl. E. 2.2.1 hievor) ist nicht einzusehen, inwieweit von den beantragten zusätzlichen Abklärungen neue Erkenntnisse zu erwarten wären.</w:t>
      </w:r>
    </w:p>
    <w:p>
      <w:r>
        <w:rPr>
          <w:b/>
        </w:rPr>
        <w:t>E. 2.3</w:t>
      </w:r>
    </w:p>
    <w:p>
      <w:r>
        <w:t>Der vorinstanzlich anhand von Art. 16 ATSG bestimmte Invaliditätsgrad (35 %) wird ansonsten letztinstanzlich nicht beanstandet.</w:t>
      </w:r>
    </w:p>
    <w:p>
      <w:r>
        <w:rPr>
          <w:b/>
        </w:rPr>
        <w:t>E. 3.1</w:t>
      </w:r>
    </w:p>
    <w:p>
      <w:r>
        <w:t>Die Gerichtskosten werden dem Beschwerdeführer als unterliegender Partei auferlegt ( Art. 66 Abs. 1 BGG ).</w:t>
      </w:r>
    </w:p>
    <w:p>
      <w:r>
        <w:rPr>
          <w:b/>
        </w:rPr>
        <w:t>E. 3.2</w:t>
      </w:r>
    </w:p>
    <w:p>
      <w:r>
        <w:t>Dem Gesuch um Gewährung der unentgeltlichen Rechtspflege ist zum einen stattzugeben, weil keine Anhaltspunkte bestehen, von der vom kantonalen Gericht angenommenen Bedürftigkeit des Versicherten abzuweichen. Zum anderen ist die Beschwerde an das Bundesgericht inhaltlich nicht als aussichtslos zu bezeichnen, weshalb die anwaltliche Vertretung geboten war ( Art. 64 Abs. 1 und 2 BGG ). Der Beschwerdeführerin wird daher eine angemessene Entschädigung zugesprochen ( Art. 64 Abs. 2 Satz 2 BGG ). 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