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8C_217/2011 vom 1. Juli 2011</w:t>
      </w:r>
    </w:p>
    <w:p>
      <w:r>
        <w:t>Bundesgericht, 2011-07-01, FR</w:t>
      </w:r>
    </w:p>
    <w:p>
      <w:r>
        <w:rPr>
          <w:b/>
        </w:rPr>
        <w:t xml:space="preserve">Quelle: </w:t>
      </w:r>
      <w:r>
        <w:t>https://mcp.opencaselaw.ch/entscheid/bger_8C_217_2011</w:t>
      </w:r>
    </w:p>
    <w:p>
      <w:r>
        <w:t>FR: TF 8C_217/2011 du 1 juillet 2011</w:t>
      </w:r>
    </w:p>
    <w:p>
      <w:r>
        <w:t>IT: TF 8C_217/2011 del 1 luglio 2011</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(BERNARD CORBOZ, in: Commentaire de la LTF, Berne 2009, n° 20 ad art. 92). En l'espèce, on est en présence d'une décision incidente qui porte sur la récusation et qui est donc susceptible de faire l'objet d'un recours immédiat. Bien que cette condition ne soit pas expressément prévue par la loi, il va par ailleurs de soi qu'en vertu du principe de l'unité de la procédure, le recours contre une décision incidente est exclu si le recours contre la décision finale n'est pas recevable ( ATF 133 III 645 consid. 2.2 p. 647).</w:t>
      </w:r>
    </w:p>
    <w:p>
      <w:r>
        <w:rPr>
          <w:b/>
        </w:rPr>
        <w:t>E. 2.2</w:t>
      </w:r>
    </w:p>
    <w:p>
      <w:r>
        <w:t>Au stade actuel de la procédure, aucune sanction n'a été prononcée à l'encontre du recourant. Rien ne dit au demeurant que le Conseil d'Etat pourrait être amené à prendre des sanctions disciplinaires susceptibles d'avoir une incidence directe sur le traitement du recourant. On doit donc admettre que l'exception prévue à l' art. 83 let . g LTF s'applique en l'espèce. Seule la voie du recours constitutionnel subsidiaire ( art. 113 ss LTF ) est ouverte. En tant que partie à la procédure cantonale, disposant de surcroît d'un intérêt juridique à l'annulation de la décision attaquée, le recourant a qualité pour agir au sens de l' art. 115 LTF .</w:t>
      </w:r>
    </w:p>
    <w:p>
      <w:r>
        <w:rPr>
          <w:b/>
        </w:rPr>
        <w:t>E. 3.1</w:t>
      </w:r>
    </w:p>
    <w:p>
      <w:r>
        <w:t>Le recourant invoque le droit à une autorité impartiale qu'il déduit de l' art. 29 al. 1 Cst. Il soutient qu'il ressort de la formulation et du contenu du courrier de l'enquêteur du 11 novembre 2010 une volonté délibérée de ce dernier de porter atteinte à ses droits procéduraux.</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arrêt 8C_639/2009 du 9 octobre 2009 consid. 5.1).</w:t>
      </w:r>
    </w:p>
    <w:p>
      <w:r>
        <w:t>Parfois, l'autorité récusée n'a pas pour tâche de statuer dans la cause, mais d'assumer un rôle d'investigation. Tel est le cas d'un enquêteur chargé d'établir les faits dans le cadre d'une enquête administrative ouverte à l'encontre d'un fonctionnaire soupçonné d'avoir enfreint ses devoirs de service. Or, il n'est pas suspect de prévention du seul fait qu'il a commis une faute de procédure ou fait une fausse application du droit de fond. De telles erreurs doivent en principe être soulevées dans le cadre d'un recours contre la décision elle-même (cf. BENJAMIN SCHINDLER, Die Befangenheit der Verwaltung, 2002, p. 137). La récusation ne se justifie, selon la jurisprudence, que si l'enquêteur commet des erreurs de procédure ou d'appréciation particulièrement lourdes ou répétées, qui doivent être considérées comme des violations graves de ses devoirs et dénotent l'intention de nuire au fonctionnaire ( ATF 125 I 119 consid. 3e p. 124; 115 Ia 400 consid. 3b p. 404; arrêt 1B_144/2009 du 4 juin 2009 consid. 2.2).</w:t>
      </w:r>
    </w:p>
    <w:p>
      <w:r>
        <w:rPr>
          <w:b/>
        </w:rPr>
        <w:t>E. 3.2</w:t>
      </w:r>
    </w:p>
    <w:p>
      <w:r>
        <w:t>Devant le Tribunal fédéral, le recourant ne prétend plus que le refus de l'enquêteur de procéder à l'audition de Mme M.________ en sa présence et/ou de son conseil constituait un motif de récusation. En revanche, il soutient que la décision restreignant l'accès aux pièces prise par l'enquêteur ainsi que son refus de le réentendre personnellement était de nature à faire suspecter de la partialité de l'enquêteur dès lors qu'ils avaient été pris sans aucun motif objectif.</w:t>
      </w:r>
    </w:p>
    <w:p>
      <w:r>
        <w:rPr>
          <w:b/>
        </w:rPr>
        <w:t>E. 3.3</w:t>
      </w:r>
    </w:p>
    <w:p>
      <w:r>
        <w:t>L'enquêteur a justifié son refus, d'une part, par le fait que le recourant n'avait pas demandé de copies avant les auditions menées à la suite du premier arrêté du Conseil d'Etat et, d'autre part, par le fait que le Conseil d'Etat lui avait rappelé, dans sa décision du 3 novembre 2010, qu'il disposerait d'un délai de 30 jours pour déposer ses observations une fois que le rapport d'enquête lui aurait été communiqué. Si la première raison avancée par l'enquêteur paraît erronée à la lumière de l'affirmation du recourant selon laquelle il aurait obtenu, lors de la consultation du dossier au greffe de la Cour de justice durant la première partie de l'enquête, copie de toutes les pièces dont il ne disposait pas encore, cette simple erreur sur un fait ne suffit pas pour admettre un motif de prévention. En ce qui concerne le refus comme tel de l'enquêteur de communiquer les pièces au dossier, on relèvera, comme l'ont fait les premiers juges, que cette décision reposait sur une base légale et qu'elle pouvait a priori se justifier eu égard à la nature délicate de l'affaire opposant un cadre à ses subordonnés. Toujours est-il que le refus de l'enquêteur n'était pas définitif puisqu'il n'interdisait pas tout accès aux pièces mais ne visait qu'à en différer la consultation jusqu'au moment de l'issue de l'enquête. Si cette manière de faire devait se révéler contraire aux droits de procédure du recourant, elle ne serait en tous les cas pas suffisamment grave pour que l'on puisse y voir un parti pris hostile au recourant ni une opinion arrêtée sur les conclusions de l'enquête.</w:t>
      </w:r>
    </w:p>
    <w:p>
      <w:r>
        <w:t>De même, on ne saurait considérer que le refus de réentendre le recourant témoigne d'une prévention de l'enquêteur dès lors que, selon les premiers juges, c'est sur la base des règles de procédure cantonales (cf. art. 27 al. 4 et 5 de la loi générale relative au personnel de l'administration cantonale, du pouvoir judiciaire et des établissements publics médicaux [LPAC]); RSG B 5 05) que celui-ci a pris cette décision. Or, celles-ci ne prévoient le droit qu'à une seule audition des parties et n'aménagent une seconde audition que si de nouveaux témoins sont entendus. A supposer qu'une incompatibilité de ces règles de procédure avec le droit d'être entendu du recourant dût être établie ultérieurement, celle-ci ne constituerait pas non plus une erreur suffisamment grave pour entraîner le récusation de l'enquêteur.</w:t>
      </w:r>
    </w:p>
    <w:p>
      <w:r>
        <w:rPr>
          <w:b/>
        </w:rPr>
        <w:t>E. 4</w:t>
      </w:r>
    </w:p>
    <w:p>
      <w:r>
        <w:t>Le présent arrêt est communiqué aux parties et à la Cour de justice de la République et canton de Genève, Chambre administrative.</w:t>
      </w:r>
    </w:p>
    <w:p>
      <w:r>
        <w:t>Lucerne, le 1er juillet 2011</w:t>
      </w:r>
    </w:p>
    <w:p>
      <w:r>
        <w:t>Au nom de la Ire Cour de droit social</w:t>
      </w:r>
    </w:p>
    <w:p>
      <w:r>
        <w:t>du Tribunal fédéral suisse</w:t>
      </w:r>
    </w:p>
    <w:p>
      <w:r>
        <w:t>Le Président: La Greffière:</w:t>
      </w:r>
    </w:p>
    <w:p>
      <w:r>
        <w:t>Ursprung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