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8C_215/2025 vom 7. Mai 2025</w:t>
      </w:r>
    </w:p>
    <w:p>
      <w:r>
        <w:t>Bundesgericht, 2025-05-07, DE</w:t>
      </w:r>
    </w:p>
    <w:p>
      <w:r>
        <w:rPr>
          <w:b/>
        </w:rPr>
        <w:t xml:space="preserve">Quelle: </w:t>
      </w:r>
      <w:r>
        <w:t>https://mcp.opencaselaw.ch/entscheid/bger_8C_215_2025</w:t>
      </w:r>
    </w:p>
    <w:p>
      <w:r>
        <w:t>FR: TF 8C_215/2025 du 7 mai 2025</w:t>
      </w:r>
    </w:p>
    <w:p>
      <w:r>
        <w:t>IT: TF 8C_215/2025 del 7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w:t>
      </w:r>
    </w:p>
    <w:p>
      <w:r>
        <w:rPr>
          <w:b/>
        </w:rPr>
        <w:t>E. 3</w:t>
      </w:r>
    </w:p>
    <w:p>
      <w:r>
        <w:t>Die Vorinstanz bestätigte mit Urteil vom 5. März 2025 den Einspracheentscheid des Beschwerdegegners vom 25. September 2023, wonach der Erlass der zurückgeforderten Taggeldzahlungen von Fr. 2'037.70 nicht in Frage komme. Dabei verneinte sie den guten Glauben und stellte fest, dass damit die zweite Erlassvoraussetzung, das Vorliegen der grossen Härte (vgl. Art. 25 Abs. 1 Satz 2 ATSG ; SR 830.1), offen bleiben könne.</w:t>
      </w:r>
    </w:p>
    <w:p>
      <w:r>
        <w:rPr>
          <w:b/>
        </w:rPr>
        <w:t>E. 4</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legt sie dar, weshalb die darauf beruhenden Erwägungen gegen Bundesrecht verstossen oder einen anderen Beschwerdegrund (vgl. Art. 95 lit. a-e BGG ) gesetzt haben könnten. Ihre Vorbringen beziehen sich nicht auf die vorinstanzlichen Erwägungen, indem sie etwa die Umstände schildert, welche zur (rechtskräftigen) Verneinung der Vermittlungsfähigkeit für die Zeit vom 9. Juni 2022 bis Ende des Monats geführt hätten. Vorinstanzliches Streitthema war indessen allein der beim Bezug der Taggelder im Monat Dezember 2022 fehlende gute Glauben. Darauf geht die Beschwerdeführerin nicht hinreichend ein.</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