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215/2016 vom 22. Juni 2016</w:t>
      </w:r>
    </w:p>
    <w:p>
      <w:r>
        <w:t>Bundesgericht, 2016-06-22, DE</w:t>
      </w:r>
    </w:p>
    <w:p>
      <w:r>
        <w:rPr>
          <w:b/>
        </w:rPr>
        <w:t xml:space="preserve">Quelle: </w:t>
      </w:r>
      <w:r>
        <w:t>https://mcp.opencaselaw.ch/entscheid/bger_8C_215_2016</w:t>
      </w:r>
    </w:p>
    <w:p>
      <w:r>
        <w:t>FR: TF 8C 215/2016 du 22 juin 2016</w:t>
      </w:r>
    </w:p>
    <w:p>
      <w:r>
        <w:t>IT: TF 8C 215/2016 del 22 giugno 2016</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Unfallversicherung zu Recht ihre Leistungen (Heilbehandlung und Invalidenrente) per 31. März 2014 eingestellt hat.</w:t>
      </w:r>
    </w:p>
    <w:p>
      <w:r>
        <w:rPr>
          <w:b/>
        </w:rPr>
        <w:t>E. 3.1</w:t>
      </w:r>
    </w:p>
    <w:p>
      <w:r>
        <w:t>Ist eine versicherte Person infolge des Unfalles mindestens zu 10 %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w:t>
      </w:r>
    </w:p>
    <w:p>
      <w:r>
        <w:rPr>
          <w:b/>
        </w:rPr>
        <w:t>E. 3.2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4.1</w:t>
      </w:r>
    </w:p>
    <w:p>
      <w:r>
        <w:t>Soweit die Beschwerdeführerin eine angeblich falsche Anwendung der Schlussbestimmungen der Änderung des IVG vom 18. März 2011 (6. IV-Revision, erstes Massnahmenpaket) rügt, gilt festzuhalten, dass Vorinstanz und Unfallversicherung die Revision mit Art. 17 ATSG und - da in der Unfallversicherung nicht anwendbar - zu Recht nicht mit den Schlussbestimmungen zum IVG begründeten. Der Vorinstanz ist somit auch keine Verletzung des rechtlichen Gehörs vorzuwerfen, wenn sie sich nicht näher mit den Ausführungen der Versicherten zur IVG-Revision befasst hat (vgl. E. 3.2 hievor).</w:t>
      </w:r>
    </w:p>
    <w:p>
      <w:r>
        <w:rPr>
          <w:b/>
        </w:rPr>
        <w:t>E. 4.2</w:t>
      </w:r>
    </w:p>
    <w:p>
      <w:r>
        <w:t>Vorinstanz und Unfallversicherung gingen davon aus, dass es in der Zeit zwischen dem 17. Februar 2006 (Datum der rentenzusprechenden Verfügung) und dem 14. November 2014 (Datum des rentenaufhebenden Einspracheentscheides) zu einer wesentlichen Verbesserung des Gesundheitszustandes gekommen ist. Was die Versicherte dagegen vorbringt, vermag nicht zu überzeugen: Auf ein im Verfahren nach Art. 44 ATSG eingeholtes Gutachten ist rechtsprechungsgemäss abzustellen, wenn nicht konkrete Indizien gegen die Zuverlässigkeit der Expertise sprechen ( BGE 135 V 465 E. 4.4 S. 470). Die Beschwerdeführerin vermag keine solchen konkreten Indizien darzutun, welche ernsthaft gegen die Zuverlässigkeit des Gutachtens des ABI vom 28. Juni 2013 sprechen würden. Insbesondere ist es für die vorliegend streitigen Belange letztlich nicht entscheidend, ob eine allfällige Verbesserung des Gesundheitszustandes in der Zeit zwischen 2006 und 2008 oder zwischen 2008 und 2013 eingetreten ist. Im Gutachten des ABI wird ausdrücklich erwähnt, dass das aktuelle neuropsychologische Testprofil sehr deutlich bessere Leistungen als die Testprofile vom 19. November 2002 und vom 15. Dezember 2004 zeigte. Damit ist eine Verbesserung aus neuropsychologischer Sicht ausgewiesen. Die Vorbringen der Beschwerdeführerin, weshalb die damalige neuropsychologische Störung bei der Zusprechung der Rente keine Rolle gespielt haben sollte, sind nicht nachvollziehbar, zumal in der Verfügung vom 17. Februar 2006 ausdrücklich auf die neuropsychologischen Untersuchungen Bezug genommen wurde. Ist demnach aus neuropsychologischer Sicht von einer wesentlichen Verbesserung des Gesundheitszustandes auszugehen, so kann offenbleiben, ob die aus psychiatrischer Sicht von den Gutachtern des ABI attestierte Verbesserung für sich alleine "wesentlich" wäre. Im Übrigen hat die Vorinstanz ihre Gründe dargelegt, weshalb auf das betreffende Gutachten abgestellt werden kann. Damit hat sie ihrer Begründungspflicht im vorstehend dargelegten Sinn genügt.</w:t>
      </w:r>
    </w:p>
    <w:p>
      <w:r>
        <w:rPr>
          <w:b/>
        </w:rPr>
        <w:t>E. 4.3</w:t>
      </w:r>
    </w:p>
    <w:p>
      <w:r>
        <w:t>Hat sich der Gesundheitszustand der Versicherten im massgebenden Zeitraum wesentlich verbessert, so durfte die Unfallversicherung in Anwendung von Art. 17 Abs. 1 ATSG die rentenzusprechende Verfügung revidieren und die gesundheitlichen Auswirkungen des Unfalls vom 22. Juni 2002 für die Zukunft neu prüfen. Eine Neuprüfung des Anspruchs unter Abstellen auf das Gutachten des ABI führt, bei unbestrittener Invaliditätsbemessung, zu einer Rentenaufhebung. Entfallen ab 1. April 2014 die Rentenleistungen, so besteht ab diesem Datum auch kein Anspruch auf Heilbehandlung nach Art. 21 Abs. 1 lit. c UVG mehr (vgl. SVR 2012 UV Nr. 6 S. 21, 8C_191/2011 E. 5). Diese Folge ergibt sich aus dem angefochtenen Entscheid zumindest sinngemäss. Ein Begründungsmangel, der die sachgerechte Anfechtung verunmöglicht hätte, liegt daher nicht vor.</w:t>
      </w:r>
    </w:p>
    <w:p>
      <w:r>
        <w:rPr>
          <w:b/>
        </w:rPr>
        <w:t>E. 5</w:t>
      </w:r>
    </w:p>
    <w:p>
      <w:r>
        <w:t>Da die Beschwerde offensichtlich unbegründet ist, wird sie im Verfahren nach Art. 109 Abs. 2 lit. a BGG erledigt.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