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8C_214/2020 vom 18. Februar 2021</w:t>
      </w:r>
    </w:p>
    <w:p>
      <w:r>
        <w:t>Bundesgericht, 2021-02-18, FR</w:t>
      </w:r>
    </w:p>
    <w:p>
      <w:r>
        <w:rPr>
          <w:b/>
        </w:rPr>
        <w:t xml:space="preserve">Quelle: </w:t>
      </w:r>
      <w:r>
        <w:t>https://mcp.opencaselaw.ch/entscheid/bger_8C_214_2020</w:t>
      </w:r>
    </w:p>
    <w:p>
      <w:r>
        <w:t>FR: TF 8C_214/2020 du 18 février 2021</w:t>
      </w:r>
    </w:p>
    <w:p>
      <w:r>
        <w:t>IT: TF 8C_214/2020 del 18 febbraio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réduisant de 20 à 12 jours la suspension du droit de l'intimé à l'indemnité de chômage.</w:t>
      </w:r>
    </w:p>
    <w:p>
      <w:r>
        <w:rPr>
          <w:b/>
        </w:rPr>
        <w:t>E. 3.1</w:t>
      </w:r>
    </w:p>
    <w:p>
      <w:r>
        <w:t>L'assuré a droit à l'indemnité de chômage s'il satisfait, entre autres conditions, aux exigences du contrôle ( art. 8 al. 1 let . g LACI [RS 837.0]).</w:t>
      </w:r>
    </w:p>
    <w:p>
      <w:r>
        <w:t>Selon l' art. 30 al. 1 let . c LACI, le droit de l'assuré à l'indemnité est suspendu lorsqu'il est établi que celui-ci ne fait pas tout ce qu'on peut raisonnablement exiger de lui pour trouver un travail convenable. Aux termes de l' art. 45 al. 3 OACI (RS 837.02), la durée de la suspension est de 1 à 15 jours en cas de faute légère (let. a) et de 16 à 30 jours en cas de faute de gravité moyenne (let. b). Si l'assuré est suspendu de façon répétée dans son droit à l'indemnité, la durée de suspension est prolongée en conséquence; les suspensions subies pendant les deux dernières années sont prises en compte dans le calcul de la prolongation ( art. 45 al. 5 OACI ).</w:t>
      </w:r>
    </w:p>
    <w:p>
      <w:r>
        <w:rPr>
          <w:b/>
        </w:rPr>
        <w:t>E. 3.2</w:t>
      </w:r>
    </w:p>
    <w:p>
      <w:r>
        <w:t>Le Bulletin LACI IC, publié par le SECO (état au 1er août 2020), prévoit que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w:t>
      </w:r>
    </w:p>
    <w:p>
      <w:r>
        <w:t>Des échelles de suspensions ont notamment été élaborées quant aux manquements en rapport avec les efforts de recherche d'emploi (cf. chiffre D79 1) : Une première catégorie concerne les efforts de recherches pendant le délai de congé. Dans ces cas, la durée de la suspension est fixée en fonction de la durée du délai de congé. Ainsi, pour des recherches insuffisantes, la suspension dure 3 à 4 jours pendant un délai de congé d'un mois (1.A1), 6 à 8 jours pendant un délai de congé de 2 mois (1.A2) et 9 à 12 jours pendant un délai de congé de 3 mois et plus (1.A3), la faute étant considérée comme légère dans ces trois cas de figure.</w:t>
      </w:r>
    </w:p>
    <w:p>
      <w:r>
        <w:t>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est tenu compte du but de l'administration tendant à garantir une application égale du droit ( ATF 141 V 365 consid. 2.4 p. 368 et les arrêts cités).</w:t>
      </w:r>
    </w:p>
    <w:p>
      <w:r>
        <w:rPr>
          <w:b/>
        </w:rPr>
        <w:t>E. 3.3</w:t>
      </w:r>
    </w:p>
    <w:p>
      <w:r>
        <w:t>La quotité de la suspension du droit à l'indemnité de chômage dans un cas concret constitue une question relevant du pouvoir d'appréciation, qui est soumise à l'examen du Tribunal fédéral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w:t>
      </w:r>
    </w:p>
    <w:p>
      <w:r>
        <w:rPr>
          <w:b/>
        </w:rPr>
        <w:t>E. 3.4</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 ATF 137 V 71 consid. 5.2 p. 73).</w:t>
      </w:r>
    </w:p>
    <w:p>
      <w:r>
        <w:rPr>
          <w:b/>
        </w:rPr>
        <w:t>E. 4.1</w:t>
      </w:r>
    </w:p>
    <w:p>
      <w:r>
        <w:t>En l'espèce, la cour cantonale a constaté qu'en répartissant sur la période du 1er mai au 31 juillet 2018 les douze offres d'emploi que l'assuré avait effectuées, on aboutissait à une moyenne de quatre recherches par mois. Confirmant l'appréciation de l'administration cantonale, selon laquelle l'intimé n'avait pas entrepris tout ce que l'on pouvait raisonnablement exiger de lui pour éviter le chômage ou l'abréger, les premiers juges ont conclu que celle-ci était par conséquent fondée à prononcer une suspension dans l'exercice de son droit à l'indemnité, conformément à l' art. 30 al. 1 let . c LACI. S'agissant en revanche de la gravité de la faute commise, la cour cantonale a considéré que le recourant avait outrepassé son pouvoir d'appréciation en s'écartant de la systématique de l'échelle des suspensions édictée par le SECO dans ses directives (Bulletin LACI). S'il était vrai que l'intimé avait réitéré le même type de comportement fautif qui lui avait valu par le passé une suspension de 10 jours, cette première récidive ne permettait pas de qualifier d'emblée de moyenne une faute initialement considérée comme légère; il convenait plutôt de retenir, malgré la récidive, que l'intimé avait commis une faute légère au sens de l' art. 45 al. 3 let. a OACI et de réduire de 20 à 12 jours la durée de la suspension prononcée, ce qui correspondait à la quotité maximale prévue pour ce type de comportement et restait conforme au principe de la proportionnalité.</w:t>
      </w:r>
    </w:p>
    <w:p>
      <w:r>
        <w:rPr>
          <w:b/>
        </w:rPr>
        <w:t>E. 4.2</w:t>
      </w:r>
    </w:p>
    <w:p>
      <w:r>
        <w:t>Le recourant critique l'appréciation de la cour cantonale en se prévalant du chiffre D63 du Bulletin LACI ainsi que d'un courrier électronique du SECO daté du 4 mars 2020, produit en annexe à son recours. Dans celui-ci, le SECO indique qu'en cas de manquements répétés, la durée de la suspension doit être prolongée; par ailleurs, à la lecture du tableau des sanctions dans son ensemble, il n'était nullement spécifié qu'une sanction pour faute légère dans un premier manquement ne pouvait pas se transformer en faute moyenne pour un second manquement.</w:t>
      </w:r>
    </w:p>
    <w:p>
      <w:r>
        <w:rPr>
          <w:b/>
        </w:rPr>
        <w:t>E. 4.3</w:t>
      </w:r>
    </w:p>
    <w:p>
      <w:r>
        <w:t>Il est vrai que pour certains états de fait, les échelles de suspensions prévoient une gradation de la faute en fonction du nombre de fois où l'assuré s'est comporté de manière fautive, par exemple lorsqu'il s'agit de la troisième fois que l'assuré a effectué des recherches insuffisantes, respectivement lorsqu'il n'a pas effectué de recherches. Dans ces cas de figure, qui concernent la période de contrôle, la suspension est comprise entre 10 et 19 jours (ch. D79 1.C3; D79 1.D2).</w:t>
      </w:r>
    </w:p>
    <w:p>
      <w:r>
        <w:t>En l'espèce, il est constant qu'il convient de se référer au barème prévu au chiffre D79 1.A3, qui s'applique aux recherches d'emploi insuffisantes pendant le délai de congé et qui prévoit une suspension de l'indemnité de chômage comprise entre 9 et 12 jours, pour une faute qualifiée de légère, sans qu'une gradation en cas de récidive soit prévue, contrairement à la constellation citée plus haut. Cela étant, si l'hypothèse de la récidive n'a pas été réglée dans cette constellation, c'est selon toute vraisemblance parce qu'il a été considéré que pendant un seul et même délai de congé (de un, deux ou trois mois), l'assuré ne pouvait faillir qu'une seule fois à son obligation de diminuer le dommage. Or force est de constater - et le cas d'espèce le démontre - qu'une récidive est bel et bien possible, en particulier lorsque, sur une période de deux ans, plusieurs rapports de travail se succèdent et donnent lieu à des délais de congé distincts. Si, pendant cette période, l'assuré est suspendu de façon répétée dans son droit à l'indemnité, la durée de la suspension doit être prolongée en conséquence, conformément à l' art. 45 al. 5 OACI .</w:t>
      </w:r>
    </w:p>
    <w:p>
      <w:r>
        <w:t>A juste titre, la cour cantonale a précisé que cela ne signifiait pas pour autant qu'en cas de première récidive, la faute doive d'emblée être qualifiée de gravité moyenne. Toutefois, en qualifiant le comportement de l'intimé de faute légère par analogie avec le barème pour les recherches insuffisantes pendant la période de contrôle (ch. D79 1.C3), qui prévoit que la faute ne peut devenir de gravité moyenne qu'à partir de la troisième fois, et en considérant à tort ne pas pouvoir aller au-delà du maximum de la fourchette de 9 à 12 jours prévue au chiffre D79 1.A3, les juges cantonaux ont commis un excès négatif de leur pouvoir d'appréciation (cf. consid. 3.3 supra). Cette constatation n'exclut toutefois pas qu'une sanction plus légère que celle prononcée par l'administration (20 jours de suspension) puisse apparaître plus opportune. Néanmoins, la motivation qui a conduit la cour cantonale à substituer sa propre appréciation à celle de l'administration ne saurait être confirmée. Il s'ensuit que l'arrêt attaqué doit être annulé et la cause renvoyée à la cour cantonale pour qu'elle rende une nouvelle décision conforme à ce qui vient d'être exposé.</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