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213/2015 vom 17. August 2015</w:t>
      </w:r>
    </w:p>
    <w:p>
      <w:r>
        <w:t>Bundesgericht, 2015-08-17, FR</w:t>
      </w:r>
    </w:p>
    <w:p>
      <w:r>
        <w:rPr>
          <w:b/>
        </w:rPr>
        <w:t xml:space="preserve">Quelle: </w:t>
      </w:r>
      <w:r>
        <w:t>https://mcp.opencaselaw.ch/entscheid/bger_8C_213_2015</w:t>
      </w:r>
    </w:p>
    <w:p>
      <w:r>
        <w:t>FR: TF 8C 213/2015 du 17 août 2015</w:t>
      </w:r>
    </w:p>
    <w:p>
      <w:r>
        <w:t>IT: TF 8C 213/2015 del 17 agosto 2015</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à laquelle a droit le recourant depuis le 1 er mars 2004, singulièrement sur l'étendue des limitations fonctionnelles au niveau des membres supérieurs. La procédure portant sur l'octroi ou le refus de prestations en espèces de l'assurance-accidents, le Tribunal fédéral n'est pas lié par les faits établis par la juridiction précédente ( art. 105 al. 3 LTF ).</w:t>
      </w:r>
    </w:p>
    <w:p>
      <w:r>
        <w:rPr>
          <w:b/>
        </w:rPr>
        <w:t>E. 3</w:t>
      </w:r>
    </w:p>
    <w:p>
      <w:r>
        <w:t>Selon l' art. 18 al. 1 LAA , l'assuré a droit à une rente d'invalidité s'il est invalide à 10 % au moins par suite d'un accident. Est réputée invalidité l'incapacité de gain totale ou partielle qui est présumée permanente ou de longue durée ( art. 8 LPGA [RS 830.1]). Aux termes de l' art.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w:t>
      </w:r>
    </w:p>
    <w:p>
      <w:r>
        <w:rPr>
          <w:b/>
        </w:rPr>
        <w:t>E. 4</w:t>
      </w:r>
    </w:p>
    <w:p>
      <w:r>
        <w:t>Se fondant sur les conclusions du rapport d'expertise du 25 février 2010, la cour cantonale retient que l'assuré peut travailler à temps complet dans une activité adaptée (hors chantier de construction), sans utilisation importante des membres supérieurs. Cette activité ne doit pas nécessiter le port de charges, ni d'efforts physiques importants ou répétitifs des membres supérieurs. A ce propos, les premiers juges mentionnent plusieurs activités raisonnablement exigibles (portier, gardien, caissier de parking et employé d'exploitation au conditionnement à la chaîne). Selon eux, il existe sur le marché du travail un éventail assez large d'activités simples et légères, ne requérant aucune formation particulière, dont un nombre suffisant est compatible avec les limitations susmentionnées, notamment dans des activités de contrôle, de surveillance et dans l'industrie légère.</w:t>
      </w:r>
    </w:p>
    <w:p>
      <w:r>
        <w:rPr>
          <w:b/>
        </w:rPr>
        <w:t>E. 5</w:t>
      </w:r>
    </w:p>
    <w:p>
      <w:r>
        <w:t>Comme unique argument, le recourant s'en prend à l'interprétation qu'ont fait les premiers juges du rapport d'expertise, tout en leur reprochant d'avoir apprécié les faits de manière arbitraire. Selon lui, l'autorité précédente considère à tort qu'il est en mesure d'utiliser ses membres supérieurs de manière modérée dans une activité légère, dans la mesure où les experts ont indiqué qu'il est absolument incapable d'utiliser ces membres dans une activité professionnelle. En outre, la conclusion des experts ne permettrait pas d'autres interprétations, vu qu'il s'agit d'un centre " romand " d'expertise et que l'utilisation impossible des membres supérieurs est répétée deux fois dans le rapport d'expertise. Cela étant, la cour cantonale aurait dû considérer qu'il était incapable d'exercer une quelconque activité. En conclusion, il soutient que, dans ces conditions, il devrait être mis au bénéfice d'une rente d'invalidité fondée sur un taux d'invalidité de 100 %.</w:t>
      </w:r>
    </w:p>
    <w:p>
      <w:r>
        <w:rPr>
          <w:b/>
        </w:rPr>
        <w:t>E. 6</w:t>
      </w:r>
    </w:p>
    <w:p>
      <w:r>
        <w:t>En l'occurrence, avant de conclure à la possibilité pour l'assuré d'exercer une activité simple " sans utilisation des membres supérieurs " (p. 67 et 69 du rapport d'expertise du 25 février 2010), les experts ont indiqué sous la rubrique " limitations fonctionnelles suite à l'accident du 21.02.2000 " que l'assuré devait éviter les activités nécessitant l'usage des membres supérieurs de manière répétitive, en force, ou avec des ports de charges (p. 63 du rapport d'expertise). Cela étant, on ne peut pas partager le point de vue du recourant selon lequel toute utilisation des membres supérieurs est exclue. Il apparaît clairement qu'elle doit être limitée dans le sens indiqué par les experts. En effet, la situation de l'assuré n'est à l'évidence pas semblable à celle d'une personne qui aurait perdu l'usage complet de ses bras. Il ressort d'ailleurs du rapport d'expertise - qui n'est pas contesté par le recourant - que celui-ci utilise ses membres supérieurs au quotidien, notamment en s'occupant du ménage, et qu'il conduit sa voiture chaque année jusqu'au Portugal (p. 46 du rapport d'expertise). Par conséquent, les premiers juges étaient fondés à considérer que le recourant est en mesure d'exercer une activité simple, sans utilisation importante des membres supérieurs.</w:t>
      </w:r>
    </w:p>
    <w:p>
      <w:r>
        <w:rPr>
          <w:b/>
        </w:rPr>
        <w:t>E. 7</w:t>
      </w:r>
    </w:p>
    <w:p>
      <w:r>
        <w:t>Vu ce qui précède, le jugement attaqué n'est pas critiquable et le recours se révèle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