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8C_212/2023 vom 5. Juli 2023</w:t>
      </w:r>
    </w:p>
    <w:p>
      <w:r>
        <w:t>Bundesgericht, 2023-07-05, DE</w:t>
      </w:r>
    </w:p>
    <w:p>
      <w:r>
        <w:rPr>
          <w:b/>
        </w:rPr>
        <w:t xml:space="preserve">Quelle: </w:t>
      </w:r>
      <w:r>
        <w:t>https://mcp.opencaselaw.ch/entscheid/bger_8C_212_2023</w:t>
      </w:r>
    </w:p>
    <w:p>
      <w:r>
        <w:t>FR: TF 8C_212/2023 du 5 juillet 2023</w:t>
      </w:r>
    </w:p>
    <w:p>
      <w:r>
        <w:t>IT: TF 8C_212/2023 del 5 luglio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i.f. mit Hinweis).</w:t>
      </w:r>
    </w:p>
    <w:p>
      <w:r>
        <w:rPr>
          <w:b/>
        </w:rPr>
        <w:t>E. 2</w:t>
      </w:r>
    </w:p>
    <w:p>
      <w:r>
        <w:t>Der mit Beschwerde eingereichte Bericht des Spitals B.________ datiert vom 3. März 2023 und somit nach dem angefochtenen Urteil vom 27. Februar 2023. Er bleibt folglich als echtes Novum (vgl. Art. 99 Abs. 1 BGG ; BGE 143 V 19 E. 1.2 mit Hinweisen) unbeachtlich - wie auch sämtliche sich darauf stützende Rügen.</w:t>
      </w:r>
    </w:p>
    <w:p>
      <w:r>
        <w:rPr>
          <w:b/>
        </w:rPr>
        <w:t>E. 3</w:t>
      </w:r>
    </w:p>
    <w:p>
      <w:r>
        <w:t>In Würdigung der medizinischen Aktenlage verneinte das kantonale Gericht in Anlehnung an den kreisärztlichen Bericht des Dr. med. C.________, Facharzt für Chirurgie, vom 21. Juni 2022 einen natürlichen Kausalzusammenhang der ab März 2022 geklagten Rückenschmerzen und dem Ereignis vom 30. Juli 2020. Entsprechend bestätigte es den Einspracheentscheid der Suva vom 28. September 2022.</w:t>
      </w:r>
    </w:p>
    <w:p>
      <w:r>
        <w:rPr>
          <w:b/>
        </w:rPr>
        <w:t>E. 4</w:t>
      </w:r>
    </w:p>
    <w:p>
      <w:r>
        <w:t>Der Beschwerdeführer kritisiert, wie bereits vor dem kantonalen Gericht, entgegen der Einschätzung des Dr. med. C.________ sei er seit dem Vorfall vom 30. Juli 2020 nicht mehr beschwerdefrei gewesen und habe nie mehr seine vormalige Leistungsfähigkeit erreicht. Inwieweit die vorinstanzliche Betrachtungsweise rechtsfehlerbehaftet sein soll, vermag er damit nicht aufzuzeigen (vgl. E. 1 oben). Deshalb und aufgrund des zuvor in Bezug auf das unzulässige echte Novum Erwogene (vgl. E. 2) fehlt es an einer Begründung im Sinn von Art. 42 Abs. 1 und 2 BGG (vgl. E. 1).</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