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212/2010 vom 31. Mai 2010</w:t>
      </w:r>
    </w:p>
    <w:p>
      <w:r>
        <w:t>Bundesgericht, 2010-05-31, DE</w:t>
      </w:r>
    </w:p>
    <w:p>
      <w:r>
        <w:rPr>
          <w:b/>
        </w:rPr>
        <w:t xml:space="preserve">Quelle: </w:t>
      </w:r>
      <w:r>
        <w:t>https://mcp.opencaselaw.ch/entscheid/bger_8C_212_2010</w:t>
      </w:r>
    </w:p>
    <w:p>
      <w:r>
        <w:t>FR: TF 8C 212/2010 du 31 mai 2010</w:t>
      </w:r>
    </w:p>
    <w:p>
      <w:r>
        <w:t>IT: TF 8C 212/2010 del 31 maggio 2010</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die von der Rechtsprechung entwickelten Grundsätze zur Vermittlungsfähigkeit im Allgemeinen ( Art. 8 Abs. 1 lit. f AVIG in Verbindung mit Art. 15 Abs. 1 AVIG ) und von behinderten Personen im Speziellen (Art. 8 Abs. 1 lit. f in Verbindung mit Art. 15 Abs. 2 AVIG ) zutreffend dargelegt. Darauf wird verwiesen.</w:t>
      </w:r>
    </w:p>
    <w:p>
      <w:r>
        <w:rPr>
          <w:b/>
        </w:rPr>
        <w:t>E. 3</w:t>
      </w:r>
    </w:p>
    <w:p>
      <w:r>
        <w:t>Streitig und zu prüfen ist, ob die Arbeitslosenkasse den versicherten Verdienst von Fr. 5'308.- für die Zeit ab 1. Mai 2009 um 20 % (entsprechend der Höhe des von der IV-Stelle mit Vorbescheid vom 23. April 2009 festgestellten Invaliditätsgrades) auf Fr. 4'246.- reduzieren darf. Demgegenüber besteht Einigkeit darüber, dass der Beschwerdeführer vermittlungsfähig ist. Eine rückwirkende Korrektur der bereits ausgerichteten Taggelder steht zudem im vorliegenden Prozess nicht zur Debatte.</w:t>
      </w:r>
    </w:p>
    <w:p>
      <w:r>
        <w:rPr>
          <w:b/>
        </w:rPr>
        <w:t>E. 4.1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4.2</w:t>
      </w:r>
    </w:p>
    <w:p>
      <w:r>
        <w:t>Nach dem im kantonalen Gerichtsentscheid zitierten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wie dem präzisierenden Urteil BGE 133 V 524 zu entnehmen ist.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 Entgegen der Ansicht des Versicherten kann die Arbeitslosenversicherung einen Invaliditätsgrad von 20 % folglich nicht ignorieren, weil sie nur Taggeldleistungen erbringen darf, welche der verbleibenden Erwerbsfähigkeit entsprechen.</w:t>
      </w:r>
    </w:p>
    <w:p>
      <w:r>
        <w:rPr>
          <w:b/>
        </w:rPr>
        <w:t>E. 5.1</w:t>
      </w:r>
    </w:p>
    <w:p>
      <w:r>
        <w:t>Art. 40b AVIV sieht eine Anpassung des versicherten Verdienstes in Ausnahmefällen vor. Im Regelfall wird der versicherte Verdienst auf der Basis des im Sinne der AHV-Gesetzgebung massgebenden Lohnes bemessen,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 BGE 133 V 530 E. 4.1.2 S. 534).</w:t>
      </w:r>
    </w:p>
    <w:p>
      <w:r>
        <w:rPr>
          <w:b/>
        </w:rPr>
        <w:t>E. 5.2</w:t>
      </w:r>
    </w:p>
    <w:p>
      <w:r>
        <w:t>Im zu beurteilenden Fall war der Versicherte seit dem Rückfall im Frühling 2007 in unterschiedlichem Ausmass in seiner Arbeitsfähigkeit eingeschränkt. Die ehemalige Arbeitgeberin sah offenbar bis zur Beendigung des Arbeitsverhältnisses auf den 31. Juli 2008 davon ab, den Lohn der verminderten Leistungsfähigkeit des Beschwerdeführers anzupassen. Der versicherte Verdienst, welcher den Taggeldabrechnungen der Arbeitslosenversicherung zugrunde liegt, basiert demgemäss auf diesem Einkommen, welches die Einbusse in der Erwerbsfähigkeit nicht berücksichtigt.</w:t>
      </w:r>
    </w:p>
    <w:p>
      <w:r>
        <w:rPr>
          <w:b/>
        </w:rPr>
        <w:t>E. 5.3</w:t>
      </w:r>
    </w:p>
    <w:p>
      <w:r>
        <w:t>Wie dem Vorbescheid der IV-Stelle vom 23. April 2009 zu entnehmen ist, besteht ein rentenausschliessender Invaliditätsgrad von 20 %. Eine solche Feststellung bildet eine erhebliche Tatsache, welche es der Arbeitslosenkasse erlaubt, den versicherten Verdienst an veränderte Verhältnisse anzupassen (vgl. BGE 133 V 524 ).</w:t>
      </w:r>
    </w:p>
    <w:p>
      <w:r>
        <w:rPr>
          <w:b/>
        </w:rPr>
        <w:t>E. 6.1</w:t>
      </w:r>
    </w:p>
    <w:p>
      <w:r>
        <w:t>Es ist dem Beschwerdeführer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In casu vermögen allerdings die Vorbringen des Beschwerdeführers den Schluss der Vorinstanz, wonach keine konkreten Anhaltspunkte für eine offensichtlich unrichtige Ermittlung des Invaliditätsgrades durch die IV-Stelle zu finden seien, nicht in Zweifel zu ziehen. Die tatsächlichen Feststellungen der Vorinstanz sind nicht mangelhaft im Sinne von Art. 97 Abs. 1 BGG und die rechtliche Würdigung ist bundesrechtskonform. Die Ausführungen in der letztinstanzlich eingereichten Beschwerdeschrift sind nicht geeignet, die Sachverhaltsfeststellung des kantonalen Gerichts als offensichtlich unrichtig oder unvollständig erscheinen zu lassen. Von einer willkürlichen Beweiswürdigung kann ohnehin nicht gesprochen werden ( BGE 132 V 393 E. 4.1 S. 400).</w:t>
      </w:r>
    </w:p>
    <w:p>
      <w:r>
        <w:rPr>
          <w:b/>
        </w:rPr>
        <w:t>E. 6.2</w:t>
      </w:r>
    </w:p>
    <w:p>
      <w:r>
        <w:t>Im Einzelnen ergibt sich aus dem Einwand des Versicherten, der Invaliditätsgrad von 20 % basiere einzig und allein auf dem von der Invalidenversicherung gewährten leidensbedingten Abzug von 15 %, welcher je nach zuständiger IV-Stelle sehr unterschiedlich bemessen werde, nichts Abweichendes. Zunächst trifft es nicht zu, dass der Invaliditätsgrad von der IV-Stelle lediglich aus dem leidensbedingten Abzug hergeleitet wurde. Sie führte einen Einkommensvergleich durch, wobei sie für die Ermittlung des hypothetischen Invalideneinkommens auf die vom Bundesamt für Statistik herausgegebene Schweizerische Lohnstrukturerhebung (LSE) abstellte. Wie bereits erwähnt, hat die Vorinstanz keinen Grund gesehen, die Invaliditätsbemessung durch die IV-Stelle in Zweifel zu ziehen (E. 6.1 hiervor). Die anonymisierten Fallbeispiele, welche ins Recht gelegt werden, um Schwankungen zwischen den verschiedenen IV-Stellen aufzuzeigen, können daran nichts ändern. Die Invalidenversicherung ist bekanntlich gehalten, den Invaliditätsgrad mit höchster Sorgfalt zu berechnen, unabhängig davon, ob ein Invalidenrentenanspruch resultiert oder nicht. Der Beschwerdeführer übersieht zudem, dass der leidensbedingte Abzug unter anderem dann niedriger ausfallen kann, wenn der aus gesundheitlichen Gründen verursachten Einbusse bereits mit der Berücksichtigung einer eingeschränkten Arbeits- oder Leistungsfähigkeit in einer angepassten Verweistätigkeit Rechnung getragen wurde. In der vorliegenden Konstellation wäre dem Versicherten eine (körperlich) leichte Tätigkeit vollschichtig, ohne Leistungseinbusse, zumutbar, weshalb die IV-Stelle im Rahmen der Berechnung des Invalideneinkommens mit dem Abzug auch die leidensbedingte Einschränkung, ein ohne Zweifel invaliditätsrelevantes Kriterium, berücksichtigen konnte. Schon aus diesem Grund geht es entgegen der Ansicht des Beschwerdeführers nicht an, den leidensbedingten Abzug (bzw. die durch Berücksichtigung des Leidensabzugs bewirkte Erhöhung des Invaliditätsgrades) bei der Berechnung der Taggelder der Arbeitslosenversicherung ausser Acht zu lassen. Seine Argumentation, auch ältere Arbeitslose oder solche Personen, welche vormals durch Glück überdurchschnittlich gut verdient hätten, müssten bei einer Neuanstellung oft erhebliche Lohneinbussen in Kauf nehmen, weshalb konsequenterweise auch bei ihnen eine Kürzung der Taggelder erfolgen müsste, ist nicht stichhaltig, denn die vorliegend zur Debatte stehende Anpassung des versicherten Verdienstes im Sinne von Art. 40b AVIV ist lediglich bei Versicherten vorgesehen, welche unmittelbar vor oder während der Arbeitslosigkeit eine gesundheitsbedingte Beeinträchtigung der Erwerbsfähigkeit erleiden. Eine solche Einschränkung ergibt sich bei arbeitslosen Personen weder allein aus ihrem fortgeschrittenen Alter noch aus dem Umstand, dass sie den bei ihrem letzten Arbeitgeber erzielten, überdurchschnittlichen Verdienst vielleicht bei einer neuen Anstellung nicht mehr erreichen können. Schliesslich kann der Beschwerdeführer auch aus dem Hinweis, wonach insbesondere ungelernte, schwer arbeitende Arbeitslose, welche eines Gesundheitsschadens wegen ihre angestammte, körperlich schwere Tätigkeit nicht mehr verrichten könnten, aber in einer physisch leichten, wechselbelastenden Verweistätigkeit voll einsetzbar wären, durch die (möglichst frühzeitige) Anmeldung bei der Invalidenversicherung nur verlieren würden, nichts zu seinen Gunsten ableiten. Arbeitslose Personen müssen zur Schadenminderung grundsätzlich jede Beschäftigung unverzüglich annehmen ( Art. 16 Abs. 1 AVIG ). Erfahren die Behörden der Arbeitslosenversicherung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 Art. 25 ATSG in Verbindung mit Art. 95 Abs. 1 sowie Abs. 1bis AVIG ( BGE 133 V 530 E. 4 S. 533 mit Hinweis; vgl. auch BGE 133 V 524 ).</w:t>
      </w:r>
    </w:p>
    <w:p>
      <w:r>
        <w:rPr>
          <w:b/>
        </w:rPr>
        <w:t>E. 7</w:t>
      </w:r>
    </w:p>
    <w:p>
      <w:r>
        <w:t>Im vorliegenden Fall bemisst sich der berichtigte versicherte Verdienst für die vorliegend relevante Zeit ab 1. Mai 2009 auf der Grundlage des in der letzten Anstellung vor Eintritt der Arbeitslosigkeit erzielten Einkommens, multipliziert mit dem Faktor, der aus der Differenz zwischen 100 % und dem Invaliditätsgrad in der Höhe von 20 % (gemäss Vorbescheid der IV-Stelle vom 23. April 2009) resultiert ( BGE 132 V 357 E. 3.2.4.2 S. 360). Die Berechnung der Arbeitslosenkasse erweist sich demzufolge als korrekt.</w:t>
      </w:r>
    </w:p>
    <w:p>
      <w:r>
        <w:rPr>
          <w:b/>
        </w:rPr>
        <w:t>E. 8</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