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8C_211/2024 vom 3. Oktober 2024</w:t>
      </w:r>
    </w:p>
    <w:p>
      <w:r>
        <w:t>Bundesgericht, 2024-10-03, DE</w:t>
      </w:r>
    </w:p>
    <w:p>
      <w:r>
        <w:rPr>
          <w:b/>
        </w:rPr>
        <w:t xml:space="preserve">Quelle: </w:t>
      </w:r>
      <w:r>
        <w:t>https://mcp.opencaselaw.ch/entscheid/bger_8C_211_2024</w:t>
      </w:r>
    </w:p>
    <w:p>
      <w:r>
        <w:t>FR: TF 8C_211/2024 du 3 octobre 2024</w:t>
      </w:r>
    </w:p>
    <w:p>
      <w:r>
        <w:t>IT: TF 8C_211/2024 del 3 ottobre 2024</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Deren Sachverhaltsfeststellungen können von Amtes wegen oder auf Rüge hin berichtigt werden, wenn sie offensichtlich unrichtig (vgl. E. 1.2 hernach) sind oder auf einer Rechtsverletzung im Sinne von Art. 95 BGG beruhen und wenn die Behebung des Mangels für den Verfahrensausgang entscheidend sein kann ( Art. 105 Abs. 2 und Art. 97 Abs. 1 BGG ; vgl. BGE 148 V 209 E. 2.2). Unter Berücksichtigung der allgemeinen Pflicht zur Begründung der Beschwerde ( Art. 42 Abs. 1 und 2 BGG ) prüft das Bundesgericht - offensichtliche Fehler vorbehalten - grundsätzlich nur die geltend gemachten Rügen (vgl. BGE 147 I 73 E. 2.1; 145 V 304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2</w:t>
      </w:r>
    </w:p>
    <w:p>
      <w:r>
        <w:t>Streitig ist, ob die Vorinstanz Bundesrecht verletzte, indem sie einen über die befristete Rentenzusprache vom 1. August 2017 bis 31. März 2018 hinaus bestehenden Anspruch auf eine Invalidenrente verneinte.</w:t>
      </w:r>
    </w:p>
    <w:p>
      <w:r>
        <w:rPr>
          <w:b/>
        </w:rPr>
        <w:t>E. 3</w:t>
      </w:r>
    </w:p>
    <w:p>
      <w:r>
        <w:t>Das kantonale Gericht hat die hier nach Gesetz und Rechtsprechung massgebenden Grundlagen richtig dargestellt. Darauf wird verwiesen ( Art. 109 Abs. 3 BGG ).</w:t>
      </w:r>
    </w:p>
    <w:p>
      <w:r>
        <w:rPr>
          <w:b/>
        </w:rPr>
        <w:t>E. 4.1</w:t>
      </w:r>
    </w:p>
    <w:p>
      <w:r>
        <w:t>In tatsächlicher Hinsicht ist der Sachverhalt massgebend, wie er sich bis zum Erlass der diesem Verfahren zu Grunde liegenden Verfügung vom 16. August 2022 verwirklicht hat (vgl. BGE 131 V 242 E. 2.1; Urteil 8C_658/2022 vom 30. Juni 2023 E. 10.2.1 mit Hinweis). Unter ausdrücklicher Bezugnahme auf die einzelnen, vom Beschwerdeführer im vorinstanzlichen Verfahren nachträglich eingereichten Arztberichte, welche zumindest teilweise aus dem Zeitraum nach Verfügungserlass datieren, stellte das kantonale Gericht fest, diese vermöchten allesamt eine zwischen der Medexperts-Begutachtung und dem Verfügungserlass vom 16. August 2022 eingetretene arbeitsfähigkeitsrelevante Verschlechterung des Gesundheitszustandes weder nachzuweisen noch glaubhaft zu machen. Inwiefern diese konkrete Beweiswürdigung das Willkürverbot verletzen soll (E. 1.2), legt der Beschwerdeführer nicht ansatzweise dar. Insbesondere trifft nicht zu, dass die Vorinstanz "lediglich pauschal auf die Noven" eingegangen sei. Im Wesentlichen begnügt sich der Beschwerdeführer mit appellatorischer Kritik am angefochtenen Entscheid (E. 1.2 i.f.), indem er geltend macht, das kantonale Gericht hätte konkret darlegen müssen, weshalb das Medexperts-Gutachten inhaltlich vollständig und umfassend sei. Dabei nimmt er mit keinem Wort Bezug auf die einlässliche vorinstanzliche Würdigung des Medexperts-Gutachtens. Der Beschwerdeführer legt offensichtlich nicht in einer dem strengen Rügeprinzip (E. 1.2) genügenden Weise dar, inwiefern die vorinstanzliche Beweiswürdigung das Willkürverbot verletzen sollte.</w:t>
      </w:r>
    </w:p>
    <w:p>
      <w:r>
        <w:rPr>
          <w:b/>
        </w:rPr>
        <w:t>E. 4.2</w:t>
      </w:r>
    </w:p>
    <w:p>
      <w:r>
        <w:t>Sodann äussert sich der Beschwerdeführer nicht zur vorinstanzlichen Ermittlung des Verlaufs des Invaliditätsgrades ab Januar 2018 von (gerundet) 13 % und von 35 % ab November 2018. In medizinischer Hinsicht beruhen diese Invaliditätsgrade auf der Entwicklung des Gesundheitszustandes und der daraus resultierenden Einschränkungen der Leistungsfähigkeit gemäss dem bundesrechtskonform als beweiswertig erkannten Medexperts-Gutachten. Nach dem Gesagten ist nicht zu beanstanden, dass die Vorinstanz angesichts eines anspruchsausschliessenden Invaliditätsgrades von weniger als 40 % ( Art. 28 Abs. 1 IVG ) ab Januar 2018 die Rentenzusprache bis zum 31. März 2018 ( Art. 88a Abs. 1 IVV ) befristete. Folglich hat es beim angefochtenen Entscheid sein Bewenden.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 Die Gerichtskosten sind dem unterliegenden Beschwerdeführer aufzuerlegen ( Art. 66 Abs. 1 BGG ). Da die Beschwerde offensichtlich unbegründet ist, ist sie als aussichtslos im Sinne von Art. 64 Abs. 1 BGG zu qualifizieren (vgl. Urteil 8C_586/2023 vom 21. Februar 2024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