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8C_210/2025 vom 1. Dezember 2025</w:t>
      </w:r>
    </w:p>
    <w:p>
      <w:r>
        <w:t>Bundesgericht, 2025-12-01, DE</w:t>
      </w:r>
    </w:p>
    <w:p>
      <w:r>
        <w:rPr>
          <w:b/>
        </w:rPr>
        <w:t xml:space="preserve">Quelle: </w:t>
      </w:r>
      <w:r>
        <w:t>https://mcp.opencaselaw.ch/entscheid/bger_8C_210_2025</w:t>
      </w:r>
    </w:p>
    <w:p>
      <w:r>
        <w:t>FR: TF 8C_210/2025 du 1 décembre 2025</w:t>
      </w:r>
    </w:p>
    <w:p>
      <w:r>
        <w:t>IT: TF 8C_210/2025 del 1 dicembre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149 IV 57 E. 2.2).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2.1</w:t>
      </w:r>
    </w:p>
    <w:p>
      <w:r>
        <w:t>Streitig und zu prüfen ist, ob das kantonale Gericht Bundesrecht verletzte, als es einen Rentenanspruch der Beschwerdeführerin für die Zeit ab 1. April 2021 verneinte.</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3</w:t>
      </w:r>
    </w:p>
    <w:p>
      <w:r>
        <w:t>Es steht aufgrund der verbindlichen vorinstanzlichen Sachverhaltsfeststellungen fest und ist letztinstanzlich unbestritten, dass die Beschwerdeführerin medizinisch-theoretisch in der Lage ist, eine ihren Leiden angepasste Tätigkeit zu 70 % auszuüben. Streitig ist demgegenüber die Verwertbarkeit der verbleibenden medizinisch-theoretischen Arbeitsfähigkeit.</w:t>
      </w:r>
    </w:p>
    <w:p>
      <w:r>
        <w:rPr>
          <w:b/>
        </w:rPr>
        <w:t>E. 3.1</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 dass nicht leichthin angenommen werden kann, die verbliebene Leistungsfähigkeit sei unverwertbar (Urteile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9C_426/2020 vom 29. April 2021 E. 5.2 und 9C_644/2019 vom 20. Januar 2020 E. 4.2, je mit Hinweis).</w:t>
      </w:r>
    </w:p>
    <w:p>
      <w:r>
        <w:rPr>
          <w:b/>
        </w:rPr>
        <w:t>E. 3.2</w:t>
      </w:r>
    </w:p>
    <w:p>
      <w:r>
        <w:t>Die Beschwerdeführerin macht geltend, die ihr verbleibende Arbeitsfähigkeit sei auch auf dem (theoretischen) ausgeglichenen Arbeitsmarkt nicht verwertbar. Hierzu ist zunächst festzuhalten, dass entgegen ihren Ausführungen auf diesem theoretischen Stellenmarkt Hilfsarbeiten grundsätzlich altersunabhängig nachgefragt werden (vgl. Urteil 8C_57/2024 vom 5. Dezember 2024 E. 5.2.1 mit Hinweis auf BGE 146 V 16 E. 7.2.1). Weiter räumt die Beschwerdeführerin letztlich selber ein, dass weder ihre somatischen noch ihre psychischen Einschränkungen für sich alleine in einer Ausprägung vorliegen, welche das Finden einer angepassten Stelle zum Vornherein als illusorisch erscheinen lassen würde. Wie die Vorinstanz zutreffend erwogen hat, bietet der ausgeglichene Arbeitsmarkt durchaus Stellen mit leichten bis gelegentlich mittelschweren, wechselbelastenden Tätigkeiten, die keinen besonderen Einsatz von Hand und Fingern erfordern. Dasselbe gilt betreffend das Anforderungsprofil (ohne Verantwortung und ohne hohe Entscheidungskompetenz, konstante Arbeitszeiten, ohne Nachtarbeit, konstantes und wohlwollendes soziales Umfeld ohne konfliktträchtige Interaktionen und mit flexibler Leistungseinteilung ohne Zeit- und Leistungsdruck) aufgrund der psychischen Einschränkungen. Im Weiteren kann auch nicht gesagt werden, dass Tätigkeiten, welche dem psychischen Anforderungsprofil - etwa solche, welche alleine und ohne Rücksichtnahme auf ein Team ausgeführt werden können (vgl. Urteil 9C_738/2010 vom 7. März 2011 E. 3.1) - entsprechen würden, regelmässig körperlich von besonderer Schwere wären oder besonderen Einsatz von Hand und Fingern erfordern würden. Somit sind die Einschränkungen der Beschwerdeführerin auch in ihrer Kombination nicht derart ausgeprägt, dass der ausgeglichene Arbeitsmarkt entsprechende Tätigkeiten praktisch nicht kennen würde.</w:t>
      </w:r>
    </w:p>
    <w:p>
      <w:r>
        <w:rPr>
          <w:b/>
        </w:rPr>
        <w:t>E. 3.3</w:t>
      </w:r>
    </w:p>
    <w:p>
      <w:r>
        <w:t>Zusammenfassend hat die Vorinstanz kein Bundesrecht verletzt, als sie die Verwertbarkeit der der Beschwerdeführerin verbliebenen medizinisch-theoretischen Arbeitsfähigkeit bejahte. Die übrigen Aspekte des Einkommensvergleichs sind letztinstanzlich unbestritten geblieben, so dass die Beschwerde ohne Weiterungen abzuweisen ist.</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