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8C_20/2025 vom 20. Februar 2025</w:t>
      </w:r>
    </w:p>
    <w:p>
      <w:r>
        <w:t>Bundesgericht, 2025-02-20, DE</w:t>
      </w:r>
    </w:p>
    <w:p>
      <w:r>
        <w:rPr>
          <w:b/>
        </w:rPr>
        <w:t xml:space="preserve">Quelle: </w:t>
      </w:r>
      <w:r>
        <w:t>https://mcp.opencaselaw.ch/entscheid/bger_8C_20_2025</w:t>
      </w:r>
    </w:p>
    <w:p>
      <w:r>
        <w:t>FR: TF 8C_20/2025 du 20 février 2025</w:t>
      </w:r>
    </w:p>
    <w:p>
      <w:r>
        <w:t>IT: TF 8C_20/2025 del 20 febbraio 2025</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Es ist anhand der massgeblichen Erwägungen klar und detailliert darzulegen, welche verfassungsmässigen Rechte und inwiefern sie durch dieses Urteil verletzt sein sollen.</w:t>
      </w:r>
    </w:p>
    <w:p>
      <w:r>
        <w:rPr>
          <w:b/>
        </w:rPr>
        <w:t>E. 2</w:t>
      </w:r>
    </w:p>
    <w:p>
      <w:r>
        <w:t>Das kantonale Gericht verneinte in Auseinandersetzung mit den Parteivorbringen und Würdigung der Akten mit Urteil vom 3. Dezember 2024 eine durch die Beschwerdegegnerin als Verwaltungsbeschwerdeinstanz gegen den Beschluss des Stadtrats Luzern vom 22. Mai 2024 begangene Rechtsverzögerung, weil sie über das mit Beschwerdeerhebung vom 10. Juni 2024 gestellte Gesuch um unentgeltliche Rechtspflege nicht umgehend entschieden habe.</w:t>
      </w:r>
    </w:p>
    <w:p>
      <w:r>
        <w:rPr>
          <w:b/>
        </w:rPr>
        <w:t>E. 3</w:t>
      </w:r>
    </w:p>
    <w:p>
      <w:r>
        <w:t>Was der Beschwerdeführer dagegen vorbringt, geht - soweit überhaupt sachbezogen - nicht über eine vor Bundesgericht unzulässige appellatorische Kritik hinaus. Das kantonale Gericht legte nämlich in Erwägung 3.4 des angefochtenen Urteils näher dar, weshalb</w:t>
      </w:r>
    </w:p>
    <w:p>
      <w:r>
        <w:t>a) eine unentgeltliche Verbeiständung wie vom Beschwerdeführer gewünscht durch den aktuellen Rechtsvertreter zum Vornherein ausser Betracht fällt, und</w:t>
      </w:r>
    </w:p>
    <w:p>
      <w:r>
        <w:t>b) überdies gegenwärtig ohnehin keine Notwendigkeit für eine Verbeiständung gegeben ist.</w:t>
      </w:r>
    </w:p>
    <w:p>
      <w:r>
        <w:t>Dabei verwies die Vorinstanz auf die einschlägigen kantonalen Rechtsbestimmungen wie auch das Urteil 2D_3/2011 vom 20. April 2011. Darauf geht der Beschwerdeführer nicht hinreichend ein. Inwiefern die vom kantonalen Gericht getroffenen Feststellungen offensichtlich unrichtig im Sinne von Art. 97 Abs. 1 BGG , das heisst willkürlich ( BGE 146 IV 88 E. 1.3.1 f. und 140 III 115 E. 2; je mit Hinweisen) sein könnten, führt er nicht aus. Genauso wenig legt er dar, die darauf beruhenden Erwägungen würden gegen Bundesrecht verstossen oder hätten einen anderen Beschwerdegrund ( Art. 95 ff. BGG ) gesetzt. Dass die Beschwerdegegnerin vom Beschwerdeführer einen Kostenvorschuss mit der Androhung des Nichteintretens bei Nichtleistung desselben einverlangt hätte, wird ebenfalls nicht geltend gemacht (Näheres dazu vgl. BGE 142 III 798 E. 2.3 und 128 V 199 E. 2b; je mit Hinweisen). Allein auszuführen, weshalb die Verbeiständung durch den aktuellen Rechtsvertreter aus Sicht des Beschwerdeführers geboten erscheint, und überdies auf den Umstand zu verweisen, mit der Rechtsmittelerhebung weitere Eingaben angekündigt zu haben, reicht nicht aus.</w:t>
      </w:r>
    </w:p>
    <w:p>
      <w:r>
        <w:rPr>
          <w:b/>
        </w:rPr>
        <w:t>E. 4</w:t>
      </w:r>
    </w:p>
    <w:p>
      <w:r>
        <w:t>Liegt offensichtlich keine hinreichend sachbezogen begründete Beschwerde vor, so führt dies zu einem Nichteintreten im vereinfachten Verfahren nach Art. 108 Abs. 1 lit. b BGG .</w:t>
      </w:r>
    </w:p>
    <w:p>
      <w:r>
        <w:rPr>
          <w:b/>
        </w:rPr>
        <w:t>E. 5</w:t>
      </w:r>
    </w:p>
    <w:p>
      <w:r>
        <w:t>Die Gerichtskosten sind ausgangsgemäss dem Beschwerdeführer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