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8C_20/2016 vom 18. November 2016</w:t>
      </w:r>
    </w:p>
    <w:p>
      <w:r>
        <w:t>Bundesgericht, 2016-11-18, FR</w:t>
      </w:r>
    </w:p>
    <w:p>
      <w:r>
        <w:rPr>
          <w:b/>
        </w:rPr>
        <w:t xml:space="preserve">Quelle: </w:t>
      </w:r>
      <w:r>
        <w:t>https://mcp.opencaselaw.ch/entscheid/bger_8C_20_2016</w:t>
      </w:r>
    </w:p>
    <w:p>
      <w:r>
        <w:t>FR: TF 8C_20/2016 du 18 novembre 2016</w:t>
      </w:r>
    </w:p>
    <w:p>
      <w:r>
        <w:t>IT: TF 8C_20/2016 del 18 novembre 2016</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(cf. p. ex. arrêt 8C_702/2014 du 16 octobre 2015 consid. 1). La valeur litigieuse est supérieure au seuil de 15'000 fr., qui ouvre la voie du recours en matière de droit public en ce domaine (art. 51 al. 2 et 85 al. 1 let. b LTF).</w:t>
      </w:r>
    </w:p>
    <w:p>
      <w:r>
        <w:rPr>
          <w:b/>
        </w:rPr>
        <w:t>E. 2</w:t>
      </w:r>
    </w:p>
    <w:p>
      <w:r>
        <w:t>Selon l' art. 89 al. 2 let . c LTF, les communes et les autres collectivités de droit public ont qualité pour recourir en invoquant la violation de garanties qui leur sont reconnues par les constitutions cantonale ou fédérale. La Ville de Genève invoque en l'espèce l'autonomie qui lui est reconnue dans le domaine de la gestion du personnel. Il y a donc lieu de lui reconnaître la qualité pour agir sur la base déjà de cette disposition. La question de savoir si elle est réellement autonome dans le domaine considéré relève du fond ( ATF 141 I 36 consid. 1.2.4 p. 41; 135 I 43 consid. 1.2 p. 45). Au reste, la recourante a également qualité pour agir sur la base de l' art. 89 al. 1 LTF . En effet, la jurisprudence admet que la collectivité publique, en tant qu'employeur, a un intérêt spécifique digne de protection à l'annulation ou à la modification d'une décision d'un tribunal favorable à son agent lorsqu'elle conteste une décision qui l'oblige à fournir des prestations pécuniaires qui pourraient être dues par tout employeur dans une situation comparable ou qu'elle conteste une décision qui l'oblige à réintégrer un employé ( ATF 141 I 253 consid. 3.2 p. 255; 134 I 204 consid. 2.3 p. 206 s.; arrêt 8C_78/2012 du 14 janvier 2013 consid. 1.2)</w:t>
      </w:r>
    </w:p>
    <w:p>
      <w:r>
        <w:rPr>
          <w:b/>
        </w:rPr>
        <w:t>E. 3</w:t>
      </w:r>
    </w:p>
    <w:p>
      <w:r>
        <w:t>La compétence est régie par l'article 4 alinéas 4 et 5.</w:t>
      </w:r>
    </w:p>
    <w:p>
      <w:r>
        <w:t>Art. 96 Procédure applicable</w:t>
      </w:r>
    </w:p>
    <w:p>
      <w:r>
        <w:t>1 La procédure de décision est régie par la loi sur la procédure administrative, en particulier en ce qui concerne la notification et la motivation des décisions.</w:t>
      </w:r>
    </w:p>
    <w:p>
      <w:r>
        <w:t>2 Les membres du personnel ont la possibilité de s'exprimer par écrit sur les motifs invoqués à l'appui de la décision. Les membres du personnel ont également droit à une audition orale devant l'autorité compétente pour rendre la décision, ou une délégation de celle-ci s'il s'agit du Conseil administratif, avec le droit de se faire assister.</w:t>
      </w:r>
    </w:p>
    <w:p>
      <w:r>
        <w:rPr>
          <w:b/>
        </w:rPr>
        <w:t>E. 3.1</w:t>
      </w:r>
    </w:p>
    <w:p>
      <w:r>
        <w:t>Sous le titre "Décisions concernant les membres du personnel", les art. 95 ss du Statut du personnel du 29 juin 2010 de la Ville de Genève (LC 21 151) (entré en vigueur le 31 décembre 2010) prévoient notamment ce qu'il suit:</w:t>
      </w:r>
    </w:p>
    <w:p>
      <w:r>
        <w:t>Art. 95 Principe</w:t>
      </w:r>
    </w:p>
    <w:p>
      <w:r>
        <w:t>1 L'employeur statue par décision dans tous les cas où le présent statut le prévoit.</w:t>
      </w:r>
    </w:p>
    <w:p>
      <w:r>
        <w:t>2 En outre, l'employeur rend une décision en cas de litige lié aux rapports de service si aucun accord n'intervient.</w:t>
      </w:r>
    </w:p>
    <w:p>
      <w:r>
        <w:rPr>
          <w:b/>
        </w:rPr>
        <w:t>E. 3.2</w:t>
      </w:r>
    </w:p>
    <w:p>
      <w:r>
        <w:t>Les premiers juges ont considéré que la question de savoir si, comme le prétendait l'intimée, elle avait joint à ses observations du 29 mai 2015 un courrier par lequel elle demandait son audition par une délégation du Conseil administratif pouvait demeurer indécise. En effet, les déclarations convergentes de l'intimée, de la secrétaire syndicale qui l'assistait et du directeur général faisaient état d'une demande dans ce sens lors des entretiens des 23 juin et 22 juillet 2015. Cette demande, formulée avant la décision de résiliation des rapports de service du 29 juillet 2015, avait donc été présentée valablement et en temps utile.</w:t>
      </w:r>
    </w:p>
    <w:p>
      <w:r>
        <w:t>La juridiction cantonale a par ailleurs écarté l'argument de la Ville selon lequel il était admis que la délégation du Conseil soit formée du directeur général de la Ville, lui-même au bénéfice d'une délégation générale de l'exécutif. Elle       a rappelé que cette question avait été examinée dans deux arrêts sous le régime de l'ancien statut applicable au personnel de l'administration municipale, qui prévoyait déjà la possibilité de demander une audition par une délégation du Conseil administratif en cas de licenciement après la période d'essai, cela pour tous les fonctionnaires de la Ville. Dans l'ATA/836/2010 du 30 novembre 2010, le tribunal administratif avait jugé que le Conseil administratif, dès lors qu'il pouvait pour des cas précis déléguer ses compétences de représentation, conformément à l'art. 50 al. 5 de la loi</w:t>
      </w:r>
    </w:p>
    <w:p>
      <w:r>
        <w:t>du 13 avril 1984 sur l'administration des communes (LAC; RS/GE B 6 05) et du moment que l'ancien statut ne précisait pas quelle devait être la composition de la délégation, celle-ci pouvait être formée d'un seul magistrat. Par la suite, dans l'arrêt ATA/185/2011 du 22 mars 2011, la cour cantonale avait admis que l'obligation d'audition n'impliquait pas que le Conseil doive procéder dans tous les cas à une audition directe de la personne concernée. Il pouvait déléguer cette faculté à un membre de la haute hiérarchie de l'administration (dans cette affaire, la décision de licenciement était intervenue le 26 août 2009, de sorte que les rapports de fonction étaient soumis à l'ancien statut).</w:t>
      </w:r>
    </w:p>
    <w:p>
      <w:r>
        <w:t>La cour cantonale a toutefois considéré que cette dernière jurisprudence ne pouvait pas être confirmée "au vu de l'évolution du rôle de l'employeur conféré au Conseil administratif par le (nouveau) statut et de la portée du droit d'être entendu offert aux membres du personnel". Aussi bien l'intimée aurait-elle dû être entendue par une délégation du Conseil administratif composée d'au moins un membre de cette autorité. Les deux entretiens qu'elle avait eus avec le directeur général ne pouvaient suppléer cette omission. Celle-ci représentait une violation grave d'un droit de procédure essentiel de l'employé public dans le système mis en place par la Ville. Le vice était si grave qu'il devait conduire à la nullité de la décision attaquée.</w:t>
      </w:r>
    </w:p>
    <w:p>
      <w:r>
        <w:rPr>
          <w:b/>
        </w:rPr>
        <w:t>E. 3.3</w:t>
      </w:r>
    </w:p>
    <w:p>
      <w:r>
        <w:t>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 art. 29 al. 2 Cst. , dont le Tribunal fédéral examine librement le respect ( ATF 134 I 159 consid. 2.1.1 p. 161). Ces garanties minimales comprennent,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142 III 48 consid. 4.1.1 p. 52 ss et les arrêts cités). En matière de rapports de travail de droit public, l'employé doit connaître l'ensemble des faits qui lui sont reprochés et leurs conséquences probables (arrêts 8C_866/2010 du 12 mars 2012 consid. 4.1.2; 8C_158/2009 du 2 septembre 2009 consid. 5.2 non publié aux ATF 136 I 39 ). Il n'est par exemple pas admissible, sous l'angle du droit d'être entendu, de remettre à l'employé une décision de résiliation des rapports de service en se contentant de lui demander de s'exprimer s'il le désire. Sauf cas d'urgence, le collaborateur doit pouvoir disposer de suffisamment de temps pour préparer ses objections. En ce domaine, comme dans d'autres d'ailleurs, il n'existe toutefois pas un droit à être entendu oralement (arrêt 8D_4/2015 du 24 août 2016 consid. 4.1).</w:t>
      </w:r>
    </w:p>
    <w:p>
      <w:r>
        <w:rPr>
          <w:b/>
        </w:rPr>
        <w:t>E. 3.4.1</w:t>
      </w:r>
    </w:p>
    <w:p>
      <w:r>
        <w:t>En l'espèce, il est incontestable - et d'ailleurs incontesté - que l'intimée a bénéficié des garanties minimales que lui conférait l' art. 29 al. 2 Cst. La question est de savoir si elle devait ou non être entendue par une délégation des magistrats membres du Conseil administratif ou si son audition par B.________ était suffisante au regard des exigences du droit cantonal. Entre autres griefs, la recourante fait valoir que la Chambre administrative a opéré un changement de jurisprudence sans que les conditions mises à un tel changement n'aient été réunies.</w:t>
      </w:r>
    </w:p>
    <w:p>
      <w:r>
        <w:rPr>
          <w:b/>
        </w:rPr>
        <w:t>E. 3.4.2</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142 V 112 consid. 4.4 p. 117 et les arrêts cités). Le droit à la protection de la bonne foi, qui découle de l' art. 9 Cst. , doit néanmoins être pris en considération. Le Tribunal fédéral a par exemple jugé que la modification d'une jurisprudence relative aux conditions de recevabilité d'un recours, notamment à la computation des délais de recours, ne doit pas intervenir sans avertissement, si elle provoque la péremption d'un droit ( ATF 140 IV 74 consid. 4.2 p. 81; 122 I 57 consid. 3d p. 61).</w:t>
      </w:r>
    </w:p>
    <w:p>
      <w:r>
        <w:rPr>
          <w:b/>
        </w:rPr>
        <w:t>E. 3.4.3</w:t>
      </w:r>
    </w:p>
    <w:p>
      <w:r>
        <w:t>En l'espèce, on peine à discerner dans les arguments avancés par la cour cantonale des motifs justifiant un changement de jurisprudence. Si, comme cela ressort des travaux préparatoires auxquels elle se réfère, le Conseil administratif voulait renforcer le droit des employés à une audition, on ne peut pas nécessairement en déduire, comme le fait la cour, qu'il a voulu en même temps modifier les modalités des auditions lorsque le Conseil administratif est compétent pour prononcer le licenciement. On ne peut pas non plus tirer cette conclusion de la volonté du Conseil d'ancrer dans le nouveau statut les instruments modernes de gestion du personnel. Au contraire, cet élément de modernité, invoqué par la cour, plaiderait plutôt en faveur d'une délégation des compétences de gestion du personnel en faveur d'un organe subordonné au Conseil administratif. La cour cantonale souligne par ailleurs qu'il est conforme à la logique du système mis en place sous l'impulsion du Conseil administratif lui-même que ce dernier soit directement partie prenante lors de l'audition orale de l'employé, non pas in corpore, mais par la présence d'un ou plusieurs de ses membres dans la délégation prévue par le statut. Mais l'établissement d'un lien direct entre les membres de l'exécutif et le salarié eût été tout aussi important sous l'ancien statut et la juridiction cantonale n'invoque pas ici une connaissance plus exacte ou plus approfondie de l'intention du législateur communal. D'un autre côté, comme elle le relève, l'arrêt ATA/185/2011 du 22 mars 2011 est une jurisprudence isolée, ce que ne conteste pas la Ville. En outre on ne saurait guère faire grief à la cour cantonale d'adopter pour l'avenir une jurisprudence qui est plus proche du texte des statuts, qui parle à l'art. 96 al. 2 de "délégation du Conseil administratif", ce qui, pris à la lettre, exclut une représentation déléguée à un haut fonctionnaire de la Ville.</w:t>
      </w:r>
    </w:p>
    <w:p>
      <w:r>
        <w:t>La question de savoir si les motifs invoqués par la Cour cantonale justifiaient un changement de jurisprudence peut toutefois demeurer ouverte en l'espèce. Il n'est pas nécessaire, en effet, de se prononcer définitivement sur la question.</w:t>
      </w:r>
    </w:p>
    <w:p>
      <w:r>
        <w:t>Dans sa lettre du 14 septembre 2015, le Conseil administratif s'est explicitement référé à l'art. 96 al. 2 du Statut pour affirmer que, contrairement aux allégués de l'intimée, celle-ci avait bien été reçue sur délégation du Conseil administratif par le directeur général de la Ville. Dans sa réponse au recours cantonal, la Ville s'est en outre prévalue de la jurisprudence de l'ATA/185/2011 en soulignant qu'il suffisait que la personne chargée de l'audition fasse partie de la haute hiérarchie de l'administration communale, ce qui est indiscutablement le cas de B.________. La recourante avait donc toutes les raisons de ne pas revenir sur sa décision, dont l'intimée demandait le "retrait". Elle n'avait par ailleurs pas de motif de penser que la juridiction cantonale reviendrait sur sa jurisprudence. Si elle avait eu connaissance de ce revirement, elle aurait pu éviter les conséquences de la nullité qu'en a tirées - à tort ou à raison (question sur laquelle il n'y a pas lieu de se prononcer à ce stade) - la juridiction précédente. Dans ces conditions, le changement de jurisprudence, supposé qu'il fût admissible, ne pouvait pas être appliqué immédiatement au cas présent (supra consid. 3.4.2).</w:t>
      </w:r>
    </w:p>
    <w:p>
      <w:r>
        <w:rPr>
          <w:b/>
        </w:rPr>
        <w:t>E. 4</w:t>
      </w:r>
    </w:p>
    <w:p>
      <w:r>
        <w:t>Par conséquent, il faut admettre que l'intimée a été valablement entendue avant le prononcé de son licenciement. Il convient, dès lors, d'annuler le jugement attaqué et de renvoyer la cause à la juridiction précédente pour qu'elle statue à nouveau, notamment qu'elle se prononce sur l'existence d'un motif fondé de licenciement.</w:t>
      </w:r>
    </w:p>
    <w:p>
      <w:r>
        <w:rPr>
          <w:b/>
        </w:rPr>
        <w:t>E. 5</w:t>
      </w:r>
    </w:p>
    <w:p>
      <w:r>
        <w:t>Succombant, l'intimée supportera les frais judiciaires. Il n'est pas alloué de dépens à la Ville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