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8C_207/2025 vom 28. Mai 2025</w:t>
      </w:r>
    </w:p>
    <w:p>
      <w:r>
        <w:t>Bundesgericht, 2025-05-28, DE</w:t>
      </w:r>
    </w:p>
    <w:p>
      <w:r>
        <w:rPr>
          <w:b/>
        </w:rPr>
        <w:t xml:space="preserve">Quelle: </w:t>
      </w:r>
      <w:r>
        <w:t>https://mcp.opencaselaw.ch/entscheid/bger_8C_207_2025</w:t>
      </w:r>
    </w:p>
    <w:p>
      <w:r>
        <w:t>FR: TF 8C_207/2025 du 28 mai 2025</w:t>
      </w:r>
    </w:p>
    <w:p>
      <w:r>
        <w:t>IT: TF 8C_207/2025 del 28 maggio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Überweisungsentscheiden praxisgemäss eine spezifische Auseinandersetzung mit den Nichtbehandlungsgründen (vgl. BGE 123 V 335 ).</w:t>
      </w:r>
    </w:p>
    <w:p>
      <w:r>
        <w:rPr>
          <w:b/>
        </w:rPr>
        <w:t>E. 2</w:t>
      </w:r>
    </w:p>
    <w:p>
      <w:r>
        <w:t>Die Vorinstanz erklärte sich in der angefochtenen Verfügung vom 21. März 2025 zur Behandlung der bei ihr eingereichten Eingabe vom 16. März 2025 für sachlich (korrekt: funktionell) unzuständig. Sie stellte dabei in Aussicht, diese an die Beschwerdegegnerin zu überweisen, welche zunächst über die gegen die Verfügung vom 19. Februar 2025 erhobene Einsprache zu entscheiden habe, bevor sich der Beschwerdeweg an das kantonale Gericht eröffne.</w:t>
      </w:r>
    </w:p>
    <w:p>
      <w:r>
        <w:rPr>
          <w:b/>
        </w:rPr>
        <w:t>E. 3</w:t>
      </w:r>
    </w:p>
    <w:p>
      <w:r>
        <w:t>Damit setzt sich die Beschwerdeführerin in ihren verschiedenen Eingaben nicht ansatzweise auseinander. Stattdessen thematisiert sie den Inhalt der Verfügung vom 19. Februar 2025 (Prämienverbilligungsanspruch; Rückforderung Zusatzleistungen), was mit Blick auf den gegebenen Streitgegenstand (funktionelle Zuständigkeit) an der Sache vorbeizielt.</w:t>
      </w:r>
    </w:p>
    <w:p>
      <w:r>
        <w:rPr>
          <w:b/>
        </w:rPr>
        <w:t>E. 4</w:t>
      </w:r>
    </w:p>
    <w:p>
      <w:r>
        <w:t>Liegt offensichtlich keine hinreichend sachbezogen begründete Beschwerde vor, so kann die Angelegenheit im vereinfachten Verfahren nach Art. 108 Abs. 1 lit. b BGG erledigt werden.</w:t>
      </w:r>
    </w:p>
    <w:p>
      <w:r>
        <w:rPr>
          <w:b/>
        </w:rPr>
        <w:t>E. 5</w:t>
      </w:r>
    </w:p>
    <w:p>
      <w:r>
        <w:t>Das Bundesgericht behält sich vor, weitere gleichartige Eingaben unbeantwortet abzulegen.</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