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8C_207/2008 vom 11. Juli 2008</w:t>
      </w:r>
    </w:p>
    <w:p>
      <w:r>
        <w:t>Bundesgericht, 2008-07-11, DE</w:t>
      </w:r>
    </w:p>
    <w:p>
      <w:r>
        <w:rPr>
          <w:b/>
        </w:rPr>
        <w:t xml:space="preserve">Quelle: </w:t>
      </w:r>
      <w:r>
        <w:t>https://mcp.opencaselaw.ch/entscheid/bger_8C_207_2008</w:t>
      </w:r>
    </w:p>
    <w:p>
      <w:r>
        <w:t>FR: TF 8C_207/2008 du 11 juillet 2008</w:t>
      </w:r>
    </w:p>
    <w:p>
      <w:r>
        <w:t>IT: TF 8C_207/2008 del 11 luglio 2008</w:t>
      </w:r>
    </w:p>
    <w:p>
      <w:pPr>
        <w:pStyle w:val="Heading2"/>
      </w:pPr>
      <w:r>
        <w:t>Volltext</w:t>
      </w:r>
    </w:p>
    <w:p>
      <w:r>
        <w:t>Tribunale federale</w:t>
      </w:r>
    </w:p>
    <w:p>
      <w:r>
        <w:t>Tribunal federal</w:t>
      </w:r>
    </w:p>
    <w:p>
      <w:r>
        <w:t>{T 0/2}</w:t>
      </w:r>
    </w:p>
    <w:p>
      <w:r>
        <w:t>8C_207/2008</w:t>
      </w:r>
    </w:p>
    <w:p>
      <w:r>
        <w:t>Urteil vom 11. Juli 2008</w:t>
      </w:r>
    </w:p>
    <w:p>
      <w:r>
        <w:t>I. sozialrechtliche Abteilung</w:t>
      </w:r>
    </w:p>
    <w:p>
      <w:r>
        <w:t>Besetzung</w:t>
      </w:r>
    </w:p>
    <w:p>
      <w:r>
        <w:t>Bundesrichter Ursprung, Präsident,</w:t>
      </w:r>
    </w:p>
    <w:p>
      <w:r>
        <w:t>Gerichtsschreiber Grünvogel.</w:t>
      </w:r>
    </w:p>
    <w:p>
      <w:r>
        <w:t>Parteien</w:t>
      </w:r>
    </w:p>
    <w:p>
      <w:r>
        <w:t>V.________,</w:t>
      </w:r>
    </w:p>
    <w:p>
      <w:r>
        <w:t>Beschwerdeführer, vertreten durch Rechtsanwalt Franklin Sedaj, Rr. UÇK Nr. 6 (Fah. Post 7), XZ-10010 Prishtine, Kosovo,</w:t>
      </w:r>
    </w:p>
    <w:p>
      <w:r>
        <w:t>gegen</w:t>
      </w:r>
    </w:p>
    <w:p>
      <w:r>
        <w:t>Schweizerische Unfallversicherungsanstalt (SUVA), Fluhmattstrasse 1, 6004 Luzern,</w:t>
      </w:r>
    </w:p>
    <w:p>
      <w:r>
        <w:t>Beschwerdegegnerin.</w:t>
      </w:r>
    </w:p>
    <w:p>
      <w:r>
        <w:t>Gegenstand</w:t>
      </w:r>
    </w:p>
    <w:p>
      <w:r>
        <w:t>Unfallversicherung,</w:t>
      </w:r>
    </w:p>
    <w:p>
      <w:r>
        <w:t>Beschwerde gegen den Entscheid des Sozialversicherungsgerichts des Kantons Zürich vom 18. Februar 2008.</w:t>
      </w:r>
    </w:p>
    <w:p>
      <w:r>
        <w:t>Nach Einsicht</w:t>
      </w:r>
    </w:p>
    <w:p>
      <w:r>
        <w:t>in die Beschwerde vom 10. März 2008 (Poststempel) gegen den Entscheid des Sozialversicherungsgerichts des Kantons Zürich vom 18. Februar 2008,</w:t>
      </w:r>
    </w:p>
    <w:p>
      <w:r>
        <w:t>in das Schreiben des Bundesgerichts vom 14. März 2008 an V.________, wonach die Beschwerde die gesetzlichen Formerfordernisse hinsichtlich Antrag und Begründung nicht zu erfüllen scheint und eine Verbesserung nur innert der Beschwerdefrist möglich ist,</w:t>
      </w:r>
    </w:p>
    <w:p>
      <w:r>
        <w:t>in die daraufhin von V.________ am 21. März 2008 eingereichte Eingabe,</w:t>
      </w:r>
    </w:p>
    <w:p>
      <w:r>
        <w:t>in Erwägung,</w:t>
      </w:r>
    </w:p>
    <w:p>
      <w:r>
        <w:t>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weiteren Hinweisen),</w:t>
      </w:r>
    </w:p>
    <w:p>
      <w:r>
        <w:t>dass mit anderen Worten in der Beschwerdeschrift (entsprechend den altrechtlichen Begründungsanforderungen des Art. 55 Abs. 1 lit. c OG sowie des Art. 273 Abs. 1 BStP und des Art. 90 Abs. 1 OG : Botschaft vom 28. Februar 2001 zur Totalrevision der Bundesrechtspflege, BBl 2001 S. 4207ff., Ziff. 4.1.2.4 zu Art. 39 Entwurf, S. 4294) auf die Erwägungen des angefochtenen Entscheids einzugehen und im Einzelnen aufzuzeigen ist, welche Vorschriften (Botschaft, a.a.O. Ziff. 2.2.4, S. 4232) und weshalb sie von der Vorinstanz verletzt worden sind ( BGE 116 II 745 E. 3 S. 749),</w:t>
      </w:r>
    </w:p>
    <w:p>
      <w:r>
        <w:t>dass sich der Beschwerdeführer bei seinen Vorbringen darauf beschränkt, bereits vor Vorinstanz Vorgetragenes - grösstenteils wortwörtlich - zu wiederholen, ohne sich auch nur ansatzweise mit den hierzu erfolgten einlässlichen Erwägungen im angefochtenen Entscheid auseinander zu setzen,</w:t>
      </w:r>
    </w:p>
    <w:p>
      <w:r>
        <w:t>dass folglich im vereinfachten Verfahren nach Art. 108 Abs. 1 lit. b BGG auf die Beschwerde nicht einzutreten ist,</w:t>
      </w:r>
    </w:p>
    <w:p>
      <w:r>
        <w:t>dass damit die am 14. März 2008 rechtshilfeweise versuchte, bis heute nicht als empfangen quittierte Zustellung der Fristansetzung zur Bezeichnung eines Zustelldomizils in der Schweiz sowie zur Leistung des Kostenvorschusses unbeachtlich wird,</w:t>
      </w:r>
    </w:p>
    <w:p>
      <w:r>
        <w:t>dass dem Beschwerdeführer nach Art. 66 Abs. 1 und 3 BGG die Kosten aufzuerlegen sind,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11. Juli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