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8C_206/2026 vom 30. April 2026</w:t>
      </w:r>
    </w:p>
    <w:p>
      <w:r>
        <w:t>Bundesgericht, 2026-04-30, DE</w:t>
      </w:r>
    </w:p>
    <w:p>
      <w:r>
        <w:rPr>
          <w:b/>
        </w:rPr>
        <w:t xml:space="preserve">Quelle: </w:t>
      </w:r>
      <w:r>
        <w:t>https://mcp.opencaselaw.ch/entscheid/bger_8C_206_2026</w:t>
      </w:r>
    </w:p>
    <w:p>
      <w:r>
        <w:t>FR: TF 8C_206/2026 du 30 avril 2026</w:t>
      </w:r>
    </w:p>
    <w:p>
      <w:r>
        <w:t>IT: TF 8C_206/2026 del 30 aprile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aufzeigen, welche Vorschriften inwiefern von der Vorinstanz verletzt worden sein sollen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17. Februar 2026 den Einspracheentscheid der Beschwerdegegnerin vom 28. August 2025, womit diese an der am 10. April 2025 verfügten Verneinung eines Anspruchs auf Insolvenzentschädigung festhielt. Es gelangte in Auseinandersetzung mit den Parteivorbringen und in Würdigung der Akten zur Überzeugung, der Beschwerdeführer habe den ausstehenden Lohn bei seiner ehemaligen Arbeitgeberin zu zögerlich eingetrieben und damit seine Schadenminderungspflicht verletzt. Dies schliesse einen Anspruch auf Insolvenzentschädigung aus.</w:t>
      </w:r>
    </w:p>
    <w:p>
      <w:r>
        <w:rPr>
          <w:b/>
        </w:rPr>
        <w:t>E. 3</w:t>
      </w:r>
    </w:p>
    <w:p>
      <w:r>
        <w:t>Damit setzt sich der Beschwerdeführer nicht hinreichend auseinander. Lediglich das bereits vor Vorinstanz Vorgetragene zu wiederholen, ohne auf die vorinstanzlichen Erwägungen näher einzugehen, reicht nicht aus.</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Damit wird das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