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206/2012 vom 12. April 2012</w:t>
      </w:r>
    </w:p>
    <w:p>
      <w:r>
        <w:t>Bundesgericht, 2012-04-12, DE</w:t>
      </w:r>
    </w:p>
    <w:p>
      <w:r>
        <w:rPr>
          <w:b/>
        </w:rPr>
        <w:t xml:space="preserve">Quelle: </w:t>
      </w:r>
      <w:r>
        <w:t>https://mcp.opencaselaw.ch/entscheid/bger_8C_206_2012</w:t>
      </w:r>
    </w:p>
    <w:p>
      <w:r>
        <w:t>FR: TF 8C 206/2012 du 12 avril 2012</w:t>
      </w:r>
    </w:p>
    <w:p>
      <w:r>
        <w:t>IT: TF 8C 206/2012 del 12 aprile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 95 BGG beruht ( Art. 105 Abs. 1 und 2 BGG ). Die konkrete Beweiswürdigung ist wie die darauf beruhende Sachverhaltsfeststellung nur unter eingeschränktem Blickwinkel überprüfbar. Die Beweiswürdigung durch das kantonale Gericht verletzt Bundesrecht, namentlich wenn es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8C_243/2011 vom 8. Juni 2011 E. 1). Auf der nicht medizinischen beruflich-erwerblichen Stufe der Invaliditätsbemessung charakterisieren sich als Rechtsfragen namentlich die gesetzlichen und rechtsprechungsgemässen Regeln über die Durchführung des Einkommensvergleichs, einschliesslich derjenigen über die Anwendung der vom Bundesamt für Statistik herausgegebenen schweizerischen Lohnstrukturerhebung (LSE). In dieser Sicht stellt sich die Festsetzung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massgebende Tabelle ist und ob ein Leidensabzug vorzunehmen sei ( BGE 132 V 393 E. 3.3 S. 399).</w:t>
      </w:r>
    </w:p>
    <w:p>
      <w:r>
        <w:rPr>
          <w:b/>
        </w:rPr>
        <w:t>E. 2</w:t>
      </w:r>
    </w:p>
    <w:p>
      <w:r>
        <w:t>Streitig ist der Anspruch der Beschwerdeführerin auf eine Invalidenrente. Das kantonale Gericht hat die gesetzlichen Bestimmungen und die von der Rechtsprechung entwickelten Grundsätze zum Begriff der Invalidität ( Art. 8 Abs. 1 ATSG in Verbindung mit Art. 4 Abs. 1 IVG ) und der Erwerbsunfähigkeit ( Art. 7 ATSG ), zum Umfang des Rentenanspruchs ( Art. 28 Abs. 2 IVG ) und zur Bemessung des Invaliditätsgrades bei erwerbstätigen Versicherten nach der allgemeinen Methode des Einkommensvergleichs ( Art. 16 ATSG in Verbindung mit Art. 28a Abs. 1 IVG ) sowie zur Aufgabe medizinischer Fachleute bei der Invaliditätsbemessung ( BGE 125 V 256 E. 4 S. 261) und zum Beweiswert und zur Würdigung medizinischer Unterlagen ( BGE 134 V 231 E. 5.1 S. 232; 125 V 351 E. 3a S. 352) zutreffend dargelegt. Darauf wird verwiesen.</w:t>
      </w:r>
    </w:p>
    <w:p>
      <w:r>
        <w:rPr>
          <w:b/>
        </w:rPr>
        <w:t>E. 3</w:t>
      </w:r>
    </w:p>
    <w:p>
      <w:r>
        <w:t>Das kantonale Gericht kam aufgrund einer umfassenden, sorgfältigen und zu allen einschlägigen ärztlichen Einschätzungen Stellung beziehenden Beweiswürdigung zum Ergebnis, dass die Beschwerdeführerin gemäss Gutachten des Dr. med. S.________ vom 27. Oktober 2008 mit Rücksicht auf ihren Gesundheitszustand in der bisherigen Tätigkeit als Arztgehilfin zu 50 Prozent arbeitsfähig sei. In einer dem gesundheitlichen Anforderungsprofil entsprechenden Verweistätigkeit, d.h. einer leichten Tätigkeit, vornehmlich ausgeübt in Wechselbelastung ohne Tragen und Heben von Lasten über 5 kg pro Seite, ohne länger dauerndes Verharren in vornübergeneigter Haltung, ohne zusätzliche Überkopfarbeiten, ohne Vibrationen und ohne asymmetrische Lasteneinwirkungen beträgt die Arbeitsfähigkeit nach den vorinstanzlichen Feststellungen hingegen 70 bis 75 Prozent.</w:t>
      </w:r>
    </w:p>
    <w:p>
      <w:r>
        <w:rPr>
          <w:b/>
        </w:rPr>
        <w:t>E. 4.1</w:t>
      </w:r>
    </w:p>
    <w:p>
      <w:r>
        <w:t>Das hypothetische Einkommen, welches die Versicherte ohne Gesundheitsschädigung hätte erzielen können (Valideneinkommen) setzte die Vorinstanz für das Jahr 2007 auf Fr. 70'131.- fest. Dem vorinstanzlichen Entscheid ist zu entnehmen, dass sich dieses aus einem selbständigen Erwerbseinkommen aus dem Reitbetrieb von Fr. 24'995.- und einem Einkommen als medizinische Praxisassistentin von Fr. 45'136.- (berechnet aufgrund der Angaben des Dr. med. H.________ vom 5. April 2009) zusammensetzt. Dieses Einkommen wird von der Beschwerdeführerin ausdrücklich anerkannt.</w:t>
      </w:r>
    </w:p>
    <w:p>
      <w:r>
        <w:rPr>
          <w:b/>
        </w:rPr>
        <w:t>E. 4.2.1</w:t>
      </w:r>
    </w:p>
    <w:p>
      <w:r>
        <w:t>Bei der Bestimmung des Einkommens, welches die Versicherte trotz Gesundheitsschädigung zumutbarerweise noch zu erzielen vermöchte (Invalideneinkommen) ging die Vorinstanz davon aus, es könne nicht auf den tatsächlich in der Praxis des Dr. med. H.________ erzielten Verdienst abgestellt werden, da die Beschwerdeführerin an dieser Arbeitsstelle mit einem Pensum von 30 bis höchstens 50 Prozent ihre zumutbare Restarbeitsfähigkeit von 70 Prozent nicht voll ausschöpfen könne. Nach den Feststellungen der Vorinstanz ist die derzeitige Tätigkeit als Medizinische Praxisassistentin gemäss Arbeitsplatzbeschreibung des Dr. med. H.________ vom 6. Juni 2008 mit einem zwischen 6 und 33 Prozent liegenden Anteil im Sitzen, Gehen und Stehen zu verrichten und es müssen manchmal Gewichte bis 10 kg, selten auch solche zwischen 10 und 25 kg getragen oder gehoben werden. Nach Auffassung des kantonalen Gerichts könnten daher verschiedene der im Gutachten des Dr. med. S.________ vom 27. Oktober 2008 für eine leidensangepasste Tätigkeit aufgeführten Kriterien tangiert oder überschritten werden, wie das nicht länger dauernde Verharren in vornübergeneigter Haltung, die gebotene symmetrische Lasteinwirkung oder die Lastengrenze von 5 kg pro Seite. Des Weitern hat das kantonale Gericht unter Hinweis auf verschiedene Internet-Stellenangebote erwogen, aufgrund der ausgesprochenen Vielfalt des Spektrums an Arbeitsmöglichkeiten einer Medizinischen Praxisassistentin mit Berufserfahrung, beispielsweise in einem Spital, einer Klinik, einer in fachmedizinischer Hinsicht spezialisierten Arztpraxis, wo sich die Funktion oft stark in den organisatorischen, planerischen, kommunikativen und administrativen Bereich verlagere, sei der Beschwerdeführerin im Rahmen der im Bereich der Sozialversicherung geltenden Schadenminderungspflicht zuzumuten, ihre Kenntnisse und Erfahrungen als Medizinische Praxisassistentin im Gesundheitswesen in einem höheren Teilpensum von 70 Prozent zu verwerten. Das kantonale Gericht hat dem Invalideneinkommen daher die LSE-Werte des Jahres 2006, aufgerechnet auf das Jahr 2007, zugrunde gelegt, wobei es die Tabelle TA3, Kategorie 85 (Gesundheits- und Sozialwesen) verwendet hat, und zwar mit dem Anforderungsniveau 3 für Frauen. Umgerechnet auf die betriebsübliche wöchentliche Arbeitszeit im Jahre 2007 von 41.5 Stunden resultierte damit bei einer Arbeitsfähigkeit von 70 Prozent ein Einkommen von Fr. 48'373.40. Abzüglich eines 10 prozentigen leidensbedingten Abzugs ergab sich Fr. 43'536.- und im Vergleich zum Valideneinkommen von Fr. 70'131.- ein Invaliditätsgrad von rund 38 Prozent.</w:t>
      </w:r>
    </w:p>
    <w:p>
      <w:r>
        <w:rPr>
          <w:b/>
        </w:rPr>
        <w:t>E. 4.2.2</w:t>
      </w:r>
    </w:p>
    <w:p>
      <w:r>
        <w:t>Die Beschwerdeführerin rügt, die Schlussfolgerung des kantonalen Gerichts, auf dem Arbeitsmarkt sei mit überwiegender Wahrscheinlichkeit ein genügend breites Spektrum an Arbeitsmöglichkeiten vorhanden, welches sie mit ihrem Wissen und ihrer Erfahrung als Medizinische Praxisassistentin im Rahmen einer leidensangepassten Tätigkeit mit einem Teilpensum von 70 Prozent verwerten könne, beruhe auf einer Verletzung des Untersuchungsgrundsatzes ( Art. 61 lit. c ATSG ) und sei offensichtlich unrichtig, weil sie dem Gutachten des Dr. med. S.________ widerspreche und anhand von Stelleninseraten klar widerlegt werden könne. Soweit die Beschwerdeführerin davon ausgeht, Dr. med. S.________ habe im Gutachten vom 27. Oktober 2008 das zumutbare Pensum für sämtliche möglichen Einsatzbereiche als Medizinische Praxisassistentin auf höchstens 50 Prozent festgesetzt, kann ihr nicht beigepflichtet werden. Zwar unterschied der Orthopäde nicht ausdrücklich zwischen der Ausübung dieses Berufes in einer Arztpraxis und einer Tätigkeit im Spital. Die ihm unterbreitete Frage lautete: "Grad der Arbeitsfähigkeit im bisherigen Arbeitsverhältnis" mit der Präzisierung, dass die Angaben von den Anforderungen im bisherigen Tätigkeitsbereich vor Eintritt des Gesundheitsschadens auszugehen hätten. Die Vorinstanz konnte daher willkürfrei annehmen, dass sich die attestierte 50 prozentige Arbeitsfähigkeit als Arztgehilfin allein auf die bisherige Tätigkeit in der Praxis des Dr. med. H.________ bezog. Das kantonale Gericht hat anhand konkreter Stellenangebote zutreffend begründet, dass sich verschiedenartige Einsatzmöglichkeiten je nach Arbeitsort nicht nur hinsichtlich des Aufgabenbereichs, sondern auch in körperlicher Hinsicht unterscheiden und der Arbeitsmarkt auch tatsächlich Stellen anbietet, welche dem ärztlichen Anforderungsprofil an eine leidensangepasste Tätigkeit entsprechen. Eine Verletzung des Untersuchungsgrundsatzes liegt damit offensichtlich nicht vor. Zur Erhärtung ihres Standpunktes legt die Beschwerdeführerin zwei Stelleninserate für Medizinische Praxisassistentinnen in einer spezialisierten Arztpraxis mit entsprechendem Anforderungsprofil bei. Ob es sich dabei um zulässige Noven im Sinne von Art. 99 Abs. 1 BGG handelt, kann dahingestellt bleiben. Die beiden Praxisstellen in der Wirbelsäulenmedizin und der orthopädischen Chirurgie decken nur einen kleinen Teil des gesamten Spektrums an Einsatzmöglichkeiten ab. Zudem vermögen sie die Feststellungen des kantonalen Gerichts nicht in Zweifel zu ziehen. Im vorinstanzlichen Verfahren bezeichnete die Beschwerdeführerin die Tätigkeit als Medizinische Praxisassistentin übrigens selber als körperlich leicht und wechselbelastend im Sinne des von Dr. med. S.________ umschriebenen Anforderungsprofils, sofern gelegentlich anfallende schwere körperliche Arbeiten delegiert werden können. Der von der Vorinstanz vorgenommene Einkommensvergleich wird von der Beschwerdeführerin nicht beanstandet und gibt keinen Grund zu Weiterungen. Es bleibt damit bei der Verneinung eines Rentenanspruchs.</w:t>
      </w:r>
    </w:p>
    <w:p>
      <w:r>
        <w:rPr>
          <w:b/>
        </w:rPr>
        <w:t>E. 5</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