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205/2016 vom 20. Juni 2016</w:t>
      </w:r>
    </w:p>
    <w:p>
      <w:r>
        <w:t>Bundesgericht, 2016-06-20, DE</w:t>
      </w:r>
    </w:p>
    <w:p>
      <w:r>
        <w:rPr>
          <w:b/>
        </w:rPr>
        <w:t xml:space="preserve">Quelle: </w:t>
      </w:r>
      <w:r>
        <w:t>https://mcp.opencaselaw.ch/entscheid/bger_8C_205_2016</w:t>
      </w:r>
    </w:p>
    <w:p>
      <w:r>
        <w:t>FR: TF 8C 205/2016 du 20 juin 2016</w:t>
      </w:r>
    </w:p>
    <w:p>
      <w:r>
        <w:t>IT: TF 8C 205/2016 del 20 giugno 2016</w:t>
      </w:r>
    </w:p>
    <w:p>
      <w:pPr>
        <w:pStyle w:val="Heading2"/>
      </w:pPr>
      <w:r>
        <w:t>Regeste</w:t>
      </w:r>
    </w:p>
    <w:p>
      <w:r>
        <w:t>Unfallversicherung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für den Rentenanspruch massgeblichen Bestimmungen und Grundsätze zutreffend dargelegt. Es wird darauf verwiesen.</w:t>
      </w:r>
    </w:p>
    <w:p>
      <w:r>
        <w:rPr>
          <w:b/>
        </w:rPr>
        <w:t>E. 3.1</w:t>
      </w:r>
    </w:p>
    <w:p>
      <w:r>
        <w:t>Streitig ist, ob wegen des vorgerückten Alters des Versicherten, der seit Oktober 2011 eine AHV-Rente bezieht, für die Bestimmung des Invaliditätsgrades nach Art. 28 Abs. 4 UVV das Erwerbseinkommen massgebend ist, das ein Versicherter im mittleren Alter bei einer entsprechenden Gesundheitsschädigung erzielen könnte.</w:t>
      </w:r>
    </w:p>
    <w:p>
      <w:r>
        <w:rPr>
          <w:b/>
        </w:rPr>
        <w:t>E. 3.2</w:t>
      </w:r>
    </w:p>
    <w:p>
      <w:r>
        <w:t>Nach den vorinstanzlichen Erwägungen wurde in den medizinischen Unterlagen eine Einschränkung des Versicherten von 50 Prozent in der angestammten Tätigkeit beziehungsweise eine 75-prozentige Arbeitsfähigkeit in einer weniger (hüft-) belastenden sitzenden Tätigkeit bescheinigt. Andere Ursachen als die unfallbedingte Verschlechterung der Hüftproblematik seien dabei nicht angeführt worden, insbesondere auch nicht das fortgeschrittenen Alter des Versicherten. Er sei vor dem Unfall als 63-Jähriger in der körperlich belastenden Tätigkeit als Küchenchef trotz der Totalprothese zu 100 Prozent tätig gewesen. Zudem bestünden keine Anhaltspunkte dafür, dass die Einschränkung der Arbeitsfähigkeit durch den erlittenen Unfall und seine Folgen bei einer Person mittleren Alters geringer ausgefallen wäre. Der physiologischen Altersgebrechlichkeit komme daher im gesamten Ursachenspektrum für die Einschränkung der Arbeitsfähigkeit keine wesentliche Bedeutung zu. Die Voraussetzungen für die Anwendbarkeit von Art. 28 Abs. 4 UVV seien deshalb nicht erfüllt (RKUV 1990 Nr. U 115 S. 389 E. 4b).</w:t>
      </w:r>
    </w:p>
    <w:p>
      <w:r>
        <w:rPr>
          <w:b/>
        </w:rPr>
        <w:t>E. 3.3</w:t>
      </w:r>
    </w:p>
    <w:p>
      <w:r>
        <w:t>Beschwerdeweise wird geltend gemacht, dass Art. 28 Abs. 4 UVV wegen des Alters des Versicherten von 66 Jahren im Zeitpunkt des Rentenbeginns anzuwenden sei. Darüber hinaus beruft sich die Beschwerdeführerin, wie schon vor der Vorinstanz, darauf, dass einem Versicherten im mittleren Alter ein höheres Invalideneinkommen anzurechnen wäre. Er wäre nicht auf eine leichte und repetitive Tätigkeit nach Anforderungsniveau 4 der Tabellenlöhne des Bundesamts für Statistik angewiesen, sondern hätte nach einer Umschulung eine Tätigkeit nach Anforderungsniveau 3 ausüben und dementsprechend einen höheren Lohn erzielen können als von der Vorinstanz angerechnet. Diesen letzteren Einwand hat das kantonale Gericht verworfen, denn die Frage der noch möglichen Umschulung zur Erzielung eines höheren Invalideneinkommens sei nur bei Anwendbarkeit der Bestimmung von Art. 28 Abs. 4 UVV zu prüfen, welche die Vorinstanz jedoch mit der erwähnten Begründung ausgeschlossen hat.</w:t>
      </w:r>
    </w:p>
    <w:p>
      <w:r>
        <w:rPr>
          <w:b/>
        </w:rPr>
        <w:t>E. 3.4</w:t>
      </w:r>
    </w:p>
    <w:p>
      <w:r>
        <w:t>Nach der Rechtsprechung ist die Anwendung der Bestimmung von Art. 28 Abs. 4 UVV ab einem Alter des Versicherten von rund 60 Jahren grundsätzlich in Betracht zu ziehen, was aber freilich nicht bedeutet, dass bei der Invaliditätsbemessung ab jenem Alter stets nach Art. 28 Abs. 4 UVV zu verfahren wäre. Auch bei Versicherten im vorgerückten Alter ist die Anwendung dieser Bestimmung erst dann zu erwägen und durch entsprechende Abklärungen zu ergründen, wenn Anhaltspunkte dafür bestehen, dass der physiologischen Altersgebrechlichkeit verglichen mit den anderen Ursachen der Beeinträchtigung der Erwerbsfähigkeit eine wesentliche Bedeutung zukommt ( BGE 122 V 418 E. 4c S. 424; RKUV 1990 Nr. U 115 S. 389 E. 4b S. 390; vgl. zum Sinn und Zweck der Bestimmung BGE 113 V 132 E. 4b S. 136 mit Hinweis auf EVGE 1967 S. 146 ff.; 122 V 418 E. 3a S. 421 f.; 134 V 392 E. 6 S. 397 f.; zur Gesetzmässigkeit: BGE 122 V 426 ). Nach den vorinstanzlichen Feststellungen war die von den Ärzten bescheinigte Einschränkung der Arbeitsfähigkeit um 50 Prozent in der angestammten beziehungsweise um 25 Prozent in einer leidensangepassten Tätigkeit allein durch die Hüftbeschwerden bedingt. Die für die Anwendung von Art. 28 Abs. 4 UVV vorausgesetzte physiologische Altersgebrechlichkeit lag nicht vor, was beschwerdeweise insoweit auch nicht bestritten wird (vgl. auch Urteil U 313/06 vom 14. August 2007 E. 3.4). Im Übrigen aber hätte die Anwendung von Art. 28 Abs. 4 UVV hier ohnehin keinen Einfluss auf den Invaliditätsgrad. Die Beschwerdeführerin macht geltend, dass ein Versicherter im mittleren Alter durch die Invalidenversicherung umgeschult worden wäre. Die Vorinstanz hat die unfallbedingten gesundheitlichen Einschränkungen des Versicherten einlässlich geschildert. Sie hat berücksichtigt, dass er mit Rücksicht auf diese unfallbedingten Beschwerden nach Einschätzung des von der Beschwerdeführerin beauftragten Gutachters selbst in einer leidensangepassten Tätigkeit keine volle Arbeitsfähigkeit mehr erlangen könnte. Dass eine Person mittleren Alters unter diesen Umständen ein höheres als das von der Vorinstanz herangezogene Einkommen verdienen könnte, ist nicht mit der erforderlichen überwiegenden Wahrscheinlichkeit nachzuweisen, zumal auch beschwerdeweise nicht weiter begründet wird, welche beruflichen Möglichkeiten mit entsprechendem Lohn dem Versicherten bei rein sitzender Tätigkeit offengestanden hätten und inwiefern daraus ein tieferer Invaliditätsgrad resultiert hätte ( BGE 126 V 353 E. 5b S. 360; 130 III 321 E. 3.2 und 3.3 S. 324 f.).</w:t>
      </w:r>
    </w:p>
    <w:p>
      <w:r>
        <w:rPr>
          <w:b/>
        </w:rPr>
        <w:t>E. 3.5</w:t>
      </w:r>
    </w:p>
    <w:p>
      <w:r>
        <w:t>Zusammengefasst ist beim Invalideneinkommen im Ergebnis mit der Vorinstanz auf den Tabellenlohn für einfache und repetitive Tätigkeiten (Anforderungsniveau 4) abzustellen.</w:t>
      </w:r>
    </w:p>
    <w:p>
      <w:r>
        <w:rPr>
          <w:b/>
        </w:rPr>
        <w:t>E. 4</w:t>
      </w:r>
    </w:p>
    <w:p>
      <w:r>
        <w:t>Zu überprüfen bleibt der vom kantonalen Gericht gewährte Abzug vom Tabellenlohn in der Höhe von 15 Prozent, welcher beschwerdeweise beanstandet wird. Mit dem Abzug vom Tabellenlohn nach BGE 126 V 75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 BGE 135 V 297 E. 5.2 S. 301). Der Abzug ist unter Würdigung der Umstände im Einzelfall nach pflichtgemässem Ermessen gesamthaft zu schätzen. Er darf 25 Prozent nicht übersteigen ( BGE 126 V 75 E. 5b/bb-cc S. 80). Die Frage nach der Höhe des Abzuges ist eine typische Ermessensfrage, deren Beantwortung letztinstanzlicher Korrektur nur mehr dort zugänglich ist, wo das Gericht das Ermessen rechtsfehlerhaft ausgeübt hat, also Ermessensüberschreitung, -missbrauch oder -unterschreitung vorliegt ( BGE 137 V 71 E. 5.1 S. 72 f. mit Hinweis auf BGE 132 V 393 E. 3.3 S. 399; SVR 2015 IV Nr. 22 S. 65, 8C_693/2014 E. 2.2). Das kantonale Gericht hat sich zu den in Betracht fallenden Abzugsgründen eingehend geäussert ( BGE 129 V 472 E. 4.2.3 S. 481; 126 V 75 E. 5 S. 78 ff.). Nach seinen Ausführungen war letztlich nur das Kriterium des Beschäftigungsgrades ausschlaggebend für den gewährten 15-prozentigen Abzug. Es sind hier jedoch für die bescheinigte Reduktion der Arbeitsfähigkeit um höchstens 25 Prozent keine weiteren Gründe für eine Beschränkung der Leistungsfähigkeit ersichtlich. Der (zusätzliche) 15-prozentige Abzug war daher bundesrechtswidrig und der angefochtene Entscheid ist insoweit zu korrigieren.</w:t>
      </w:r>
    </w:p>
    <w:p>
      <w:r>
        <w:rPr>
          <w:b/>
        </w:rPr>
        <w:t>E. 5</w:t>
      </w:r>
    </w:p>
    <w:p>
      <w:r>
        <w:t>Der Vergleich des unbestittenen Valideneinkommens von 82'974 Franken mit einem Invalideneinkommen von 47'142 Franken für ein       75-Prozent-Pensum (nach den mit Ausnahme des leidensbedingten Abzuges unbestritten gebliebenen vorinstanzlichen Feststellungen) ergibt einen Invaliditätsgrad von 43 Prozent.</w:t>
      </w:r>
    </w:p>
    <w:p>
      <w:r>
        <w:rPr>
          <w:b/>
        </w:rPr>
        <w:t>E. 6</w:t>
      </w:r>
    </w:p>
    <w:p>
      <w:r>
        <w:t>Das Verfahren ist kostenpflichtig ( Art. 65 BGG ). Entsprechend seinem Ausgang werden beiden Parteien Gerichtskosten auferlegt ( Art. 66 Abs. 1 BGG ). Die SWICA hat dem Versicherten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